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6228"/>
        <w:gridCol w:w="2952"/>
      </w:tblGrid>
      <w:tr w:rsidR="00CA3103" w:rsidRPr="00615519" w14:paraId="21D0F4EE" w14:textId="77777777" w:rsidTr="006C45F9">
        <w:trPr>
          <w:trHeight w:val="1430"/>
        </w:trPr>
        <w:tc>
          <w:tcPr>
            <w:tcW w:w="6228" w:type="dxa"/>
            <w:vAlign w:val="center"/>
          </w:tcPr>
          <w:p w14:paraId="453158C5" w14:textId="77777777" w:rsidR="00CA3103" w:rsidRPr="00615519" w:rsidRDefault="00CA3103" w:rsidP="006C45F9">
            <w:pPr>
              <w:autoSpaceDE w:val="0"/>
              <w:autoSpaceDN w:val="0"/>
              <w:adjustRightInd w:val="0"/>
              <w:rPr>
                <w:rFonts w:cs="Book Antiqua"/>
                <w:szCs w:val="24"/>
              </w:rPr>
            </w:pPr>
            <w:r w:rsidRPr="00615519">
              <w:rPr>
                <w:rFonts w:cs="Book Antiqua"/>
                <w:szCs w:val="24"/>
              </w:rPr>
              <w:t>Neutral Citation No</w:t>
            </w:r>
            <w:r w:rsidR="009D3845" w:rsidRPr="00615519">
              <w:rPr>
                <w:rFonts w:cs="Book Antiqua"/>
                <w:szCs w:val="24"/>
              </w:rPr>
              <w:t>: [</w:t>
            </w:r>
            <w:r w:rsidR="000045D5" w:rsidRPr="00615519">
              <w:rPr>
                <w:rFonts w:cs="Book Antiqua"/>
                <w:szCs w:val="24"/>
              </w:rPr>
              <w:t>202</w:t>
            </w:r>
            <w:r w:rsidR="00E35FD5">
              <w:rPr>
                <w:rFonts w:cs="Book Antiqua"/>
                <w:szCs w:val="24"/>
              </w:rPr>
              <w:t>6</w:t>
            </w:r>
            <w:r w:rsidR="000045D5" w:rsidRPr="00615519">
              <w:rPr>
                <w:rFonts w:cs="Book Antiqua"/>
                <w:szCs w:val="24"/>
              </w:rPr>
              <w:t>] NI</w:t>
            </w:r>
            <w:r w:rsidR="00BB101D" w:rsidRPr="00615519">
              <w:rPr>
                <w:rFonts w:cs="Book Antiqua"/>
                <w:szCs w:val="24"/>
              </w:rPr>
              <w:t>K</w:t>
            </w:r>
            <w:r w:rsidR="000045D5" w:rsidRPr="00615519">
              <w:rPr>
                <w:rFonts w:cs="Book Antiqua"/>
                <w:szCs w:val="24"/>
              </w:rPr>
              <w:t>B</w:t>
            </w:r>
            <w:r w:rsidR="00B017C3">
              <w:rPr>
                <w:rFonts w:cs="Book Antiqua"/>
                <w:szCs w:val="24"/>
              </w:rPr>
              <w:t xml:space="preserve"> 22</w:t>
            </w:r>
            <w:r w:rsidR="000045D5" w:rsidRPr="00615519">
              <w:rPr>
                <w:rFonts w:cs="Book Antiqua"/>
                <w:szCs w:val="24"/>
              </w:rPr>
              <w:t xml:space="preserve"> </w:t>
            </w:r>
          </w:p>
          <w:p w14:paraId="11275DDA" w14:textId="77777777" w:rsidR="00CA3103" w:rsidRPr="00615519" w:rsidRDefault="00CA3103" w:rsidP="006C45F9">
            <w:pPr>
              <w:autoSpaceDE w:val="0"/>
              <w:autoSpaceDN w:val="0"/>
              <w:adjustRightInd w:val="0"/>
              <w:rPr>
                <w:rFonts w:cs="Book Antiqua"/>
                <w:bCs/>
                <w:sz w:val="20"/>
              </w:rPr>
            </w:pPr>
            <w:r w:rsidRPr="00615519">
              <w:rPr>
                <w:rFonts w:cs="Book Antiqua"/>
                <w:bCs/>
                <w:sz w:val="20"/>
              </w:rPr>
              <w:t xml:space="preserve"> </w:t>
            </w:r>
          </w:p>
          <w:p w14:paraId="2E483755" w14:textId="77777777" w:rsidR="00AD2B98" w:rsidRPr="00615519" w:rsidRDefault="00AD2B98" w:rsidP="006C45F9">
            <w:pPr>
              <w:autoSpaceDE w:val="0"/>
              <w:autoSpaceDN w:val="0"/>
              <w:adjustRightInd w:val="0"/>
              <w:rPr>
                <w:rFonts w:cs="Book Antiqua"/>
                <w:bCs/>
                <w:sz w:val="20"/>
              </w:rPr>
            </w:pPr>
          </w:p>
          <w:p w14:paraId="237F8821" w14:textId="77777777" w:rsidR="00AD2B98" w:rsidRPr="00615519" w:rsidRDefault="00AD2B98" w:rsidP="006C45F9">
            <w:pPr>
              <w:autoSpaceDE w:val="0"/>
              <w:autoSpaceDN w:val="0"/>
              <w:adjustRightInd w:val="0"/>
              <w:rPr>
                <w:rFonts w:cs="Book Antiqua"/>
                <w:bCs/>
                <w:sz w:val="20"/>
              </w:rPr>
            </w:pPr>
          </w:p>
          <w:p w14:paraId="6E962211" w14:textId="77777777" w:rsidR="008610B7" w:rsidRPr="00615519" w:rsidRDefault="008610B7" w:rsidP="006C45F9">
            <w:pPr>
              <w:autoSpaceDE w:val="0"/>
              <w:autoSpaceDN w:val="0"/>
              <w:adjustRightInd w:val="0"/>
              <w:rPr>
                <w:rFonts w:cs="Book Antiqua"/>
                <w:bCs/>
                <w:sz w:val="20"/>
              </w:rPr>
            </w:pPr>
          </w:p>
          <w:p w14:paraId="10A5DC57" w14:textId="77777777" w:rsidR="00CA3103" w:rsidRPr="00615519" w:rsidRDefault="00CA3103" w:rsidP="006C45F9">
            <w:pPr>
              <w:autoSpaceDE w:val="0"/>
              <w:autoSpaceDN w:val="0"/>
              <w:adjustRightInd w:val="0"/>
              <w:rPr>
                <w:rFonts w:ascii="Times New Roman" w:hAnsi="Times New Roman"/>
                <w:bCs/>
                <w:i/>
                <w:iCs/>
                <w:sz w:val="20"/>
              </w:rPr>
            </w:pPr>
            <w:r w:rsidRPr="00615519">
              <w:rPr>
                <w:rFonts w:cs="Book Antiqua"/>
                <w:bCs/>
                <w:i/>
                <w:iCs/>
                <w:sz w:val="20"/>
              </w:rPr>
              <w:t xml:space="preserve">Judgment: approved by the </w:t>
            </w:r>
            <w:r w:rsidR="00BB101D" w:rsidRPr="00615519">
              <w:rPr>
                <w:rFonts w:cs="Book Antiqua"/>
                <w:bCs/>
                <w:i/>
                <w:iCs/>
                <w:sz w:val="20"/>
              </w:rPr>
              <w:t>c</w:t>
            </w:r>
            <w:r w:rsidRPr="00615519">
              <w:rPr>
                <w:rFonts w:cs="Book Antiqua"/>
                <w:bCs/>
                <w:i/>
                <w:iCs/>
                <w:sz w:val="20"/>
              </w:rPr>
              <w:t>ourt for handing down</w:t>
            </w:r>
          </w:p>
          <w:p w14:paraId="4602BA51" w14:textId="77777777" w:rsidR="00CA3103" w:rsidRPr="00615519" w:rsidRDefault="00CA3103" w:rsidP="006C45F9">
            <w:pPr>
              <w:autoSpaceDE w:val="0"/>
              <w:autoSpaceDN w:val="0"/>
              <w:adjustRightInd w:val="0"/>
              <w:rPr>
                <w:rFonts w:cs="Book Antiqua"/>
                <w:szCs w:val="24"/>
              </w:rPr>
            </w:pPr>
            <w:r w:rsidRPr="00615519">
              <w:rPr>
                <w:rFonts w:cs="Book Antiqua"/>
                <w:bCs/>
                <w:i/>
                <w:iCs/>
                <w:sz w:val="20"/>
              </w:rPr>
              <w:t xml:space="preserve">(subject to editorial </w:t>
            </w:r>
            <w:r w:rsidR="009D3845" w:rsidRPr="00615519">
              <w:rPr>
                <w:rFonts w:cs="Book Antiqua"/>
                <w:bCs/>
                <w:i/>
                <w:iCs/>
                <w:sz w:val="20"/>
              </w:rPr>
              <w:t>corrections) *</w:t>
            </w:r>
            <w:r w:rsidRPr="00615519">
              <w:rPr>
                <w:rFonts w:cs="Book Antiqua"/>
                <w:bCs/>
                <w:i/>
                <w:iCs/>
                <w:sz w:val="20"/>
              </w:rPr>
              <w:t xml:space="preserve"> </w:t>
            </w:r>
          </w:p>
        </w:tc>
        <w:tc>
          <w:tcPr>
            <w:tcW w:w="2952" w:type="dxa"/>
            <w:vAlign w:val="center"/>
          </w:tcPr>
          <w:p w14:paraId="71B27E8E" w14:textId="77777777" w:rsidR="00CA3103" w:rsidRPr="00615519" w:rsidRDefault="00CA3103" w:rsidP="006C45F9">
            <w:pPr>
              <w:autoSpaceDE w:val="0"/>
              <w:autoSpaceDN w:val="0"/>
              <w:adjustRightInd w:val="0"/>
              <w:rPr>
                <w:rFonts w:cs="Book Antiqua"/>
                <w:bCs/>
                <w:szCs w:val="24"/>
              </w:rPr>
            </w:pPr>
            <w:r w:rsidRPr="00615519">
              <w:rPr>
                <w:rFonts w:cs="Book Antiqua"/>
                <w:bCs/>
                <w:i/>
                <w:iCs/>
                <w:szCs w:val="24"/>
              </w:rPr>
              <w:t>Ref:</w:t>
            </w:r>
            <w:r w:rsidRPr="00615519">
              <w:rPr>
                <w:rFonts w:cs="Book Antiqua"/>
                <w:bCs/>
                <w:szCs w:val="24"/>
              </w:rPr>
              <w:t xml:space="preserve">     </w:t>
            </w:r>
            <w:r w:rsidR="00E97779" w:rsidRPr="00615519">
              <w:rPr>
                <w:rFonts w:cs="Book Antiqua"/>
                <w:bCs/>
                <w:szCs w:val="24"/>
              </w:rPr>
              <w:t xml:space="preserve">         </w:t>
            </w:r>
            <w:r w:rsidR="0004749A" w:rsidRPr="00615519">
              <w:rPr>
                <w:rFonts w:cs="Book Antiqua"/>
                <w:bCs/>
                <w:szCs w:val="24"/>
              </w:rPr>
              <w:t xml:space="preserve"> </w:t>
            </w:r>
            <w:r w:rsidR="009B4906" w:rsidRPr="00615519">
              <w:rPr>
                <w:rFonts w:cs="Book Antiqua"/>
                <w:bCs/>
                <w:szCs w:val="24"/>
              </w:rPr>
              <w:t>SCO</w:t>
            </w:r>
            <w:r w:rsidR="00345E7F">
              <w:rPr>
                <w:rFonts w:cs="Book Antiqua"/>
                <w:bCs/>
                <w:szCs w:val="24"/>
              </w:rPr>
              <w:t>13053</w:t>
            </w:r>
          </w:p>
          <w:p w14:paraId="67ADF236" w14:textId="77777777" w:rsidR="00CA6F29" w:rsidRPr="00615519" w:rsidRDefault="00CA6F29" w:rsidP="00CA6F29">
            <w:pPr>
              <w:autoSpaceDE w:val="0"/>
              <w:autoSpaceDN w:val="0"/>
              <w:adjustRightInd w:val="0"/>
              <w:rPr>
                <w:rFonts w:ascii="Times New Roman" w:hAnsi="Times New Roman"/>
                <w:bCs/>
                <w:szCs w:val="24"/>
              </w:rPr>
            </w:pPr>
            <w:r w:rsidRPr="00615519">
              <w:rPr>
                <w:rFonts w:cs="Book Antiqua"/>
                <w:bCs/>
                <w:szCs w:val="24"/>
              </w:rPr>
              <w:t xml:space="preserve">                       </w:t>
            </w:r>
          </w:p>
          <w:p w14:paraId="1731FFB9" w14:textId="77777777" w:rsidR="009D5E6F" w:rsidRPr="00EF3ECF" w:rsidRDefault="007A002B" w:rsidP="005400EF">
            <w:pPr>
              <w:autoSpaceDE w:val="0"/>
              <w:autoSpaceDN w:val="0"/>
              <w:adjustRightInd w:val="0"/>
              <w:ind w:left="1318" w:hanging="1318"/>
              <w:rPr>
                <w:rFonts w:cs="Book Antiqua"/>
                <w:bCs/>
                <w:iCs/>
                <w:szCs w:val="24"/>
              </w:rPr>
            </w:pPr>
            <w:r w:rsidRPr="00615519">
              <w:rPr>
                <w:rFonts w:cs="Book Antiqua"/>
                <w:bCs/>
                <w:i/>
                <w:iCs/>
                <w:szCs w:val="24"/>
              </w:rPr>
              <w:t>ICOS No:</w:t>
            </w:r>
            <w:r w:rsidR="0004749A" w:rsidRPr="00615519">
              <w:rPr>
                <w:rFonts w:cs="Book Antiqua"/>
                <w:bCs/>
                <w:iCs/>
                <w:szCs w:val="24"/>
              </w:rPr>
              <w:t xml:space="preserve">     </w:t>
            </w:r>
            <w:r w:rsidR="009D5E6F" w:rsidRPr="00EF3ECF">
              <w:rPr>
                <w:rFonts w:cs="Book Antiqua"/>
                <w:bCs/>
                <w:iCs/>
                <w:szCs w:val="24"/>
              </w:rPr>
              <w:t>22/031234</w:t>
            </w:r>
            <w:r w:rsidR="00E10485" w:rsidRPr="00EF3ECF">
              <w:rPr>
                <w:rFonts w:cs="Book Antiqua"/>
                <w:bCs/>
                <w:iCs/>
                <w:szCs w:val="24"/>
              </w:rPr>
              <w:t>/01</w:t>
            </w:r>
            <w:r w:rsidR="009D5E6F" w:rsidRPr="00EF3ECF">
              <w:rPr>
                <w:rFonts w:cs="Book Antiqua"/>
                <w:bCs/>
                <w:iCs/>
                <w:szCs w:val="24"/>
              </w:rPr>
              <w:t>;</w:t>
            </w:r>
          </w:p>
          <w:p w14:paraId="742C2A94" w14:textId="77777777" w:rsidR="009D5E6F" w:rsidRPr="00EF3ECF" w:rsidRDefault="009D5E6F" w:rsidP="009D5E6F">
            <w:pPr>
              <w:autoSpaceDE w:val="0"/>
              <w:autoSpaceDN w:val="0"/>
              <w:adjustRightInd w:val="0"/>
              <w:ind w:left="1318" w:hanging="2"/>
              <w:rPr>
                <w:rFonts w:cs="Book Antiqua"/>
                <w:bCs/>
                <w:szCs w:val="24"/>
              </w:rPr>
            </w:pPr>
            <w:r w:rsidRPr="00EF3ECF">
              <w:rPr>
                <w:rFonts w:cs="Book Antiqua"/>
                <w:bCs/>
                <w:szCs w:val="24"/>
              </w:rPr>
              <w:t>22/</w:t>
            </w:r>
            <w:r w:rsidR="00517A52" w:rsidRPr="00EF3ECF">
              <w:rPr>
                <w:rFonts w:cs="Book Antiqua"/>
                <w:bCs/>
                <w:szCs w:val="24"/>
              </w:rPr>
              <w:t>0</w:t>
            </w:r>
            <w:r w:rsidRPr="00EF3ECF">
              <w:rPr>
                <w:rFonts w:cs="Book Antiqua"/>
                <w:bCs/>
                <w:szCs w:val="24"/>
              </w:rPr>
              <w:t>37209/01;</w:t>
            </w:r>
          </w:p>
          <w:p w14:paraId="5D6A6FD1" w14:textId="77777777" w:rsidR="00CA3103" w:rsidRPr="00EF3ECF" w:rsidRDefault="005400EF" w:rsidP="009D5E6F">
            <w:pPr>
              <w:autoSpaceDE w:val="0"/>
              <w:autoSpaceDN w:val="0"/>
              <w:adjustRightInd w:val="0"/>
              <w:ind w:left="1318" w:hanging="2"/>
              <w:rPr>
                <w:rFonts w:cs="Book Antiqua"/>
                <w:bCs/>
                <w:iCs/>
                <w:szCs w:val="24"/>
              </w:rPr>
            </w:pPr>
            <w:bookmarkStart w:id="0" w:name="_Hlk181968278"/>
            <w:r w:rsidRPr="00EF3ECF">
              <w:rPr>
                <w:rFonts w:cs="Book Antiqua"/>
                <w:bCs/>
                <w:iCs/>
                <w:szCs w:val="24"/>
              </w:rPr>
              <w:t>22/047365/01</w:t>
            </w:r>
          </w:p>
          <w:bookmarkEnd w:id="0"/>
          <w:p w14:paraId="57508F19" w14:textId="77777777" w:rsidR="00CA3103" w:rsidRPr="00615519" w:rsidRDefault="00CA3103" w:rsidP="006C45F9">
            <w:pPr>
              <w:autoSpaceDE w:val="0"/>
              <w:autoSpaceDN w:val="0"/>
              <w:adjustRightInd w:val="0"/>
              <w:rPr>
                <w:rFonts w:cs="Book Antiqua"/>
                <w:bCs/>
                <w:i/>
                <w:iCs/>
                <w:sz w:val="20"/>
              </w:rPr>
            </w:pPr>
          </w:p>
          <w:p w14:paraId="488E9AAF" w14:textId="77777777" w:rsidR="00CA3103" w:rsidRPr="00615519" w:rsidRDefault="00CA3103" w:rsidP="0004749A">
            <w:pPr>
              <w:autoSpaceDE w:val="0"/>
              <w:autoSpaceDN w:val="0"/>
              <w:adjustRightInd w:val="0"/>
              <w:rPr>
                <w:rFonts w:ascii="Times New Roman" w:hAnsi="Times New Roman"/>
                <w:szCs w:val="24"/>
              </w:rPr>
            </w:pPr>
            <w:r w:rsidRPr="00615519">
              <w:rPr>
                <w:rFonts w:cs="Book Antiqua"/>
                <w:bCs/>
                <w:i/>
                <w:iCs/>
                <w:szCs w:val="24"/>
              </w:rPr>
              <w:t>Delivered:</w:t>
            </w:r>
            <w:r w:rsidR="00066D01" w:rsidRPr="00615519">
              <w:rPr>
                <w:rFonts w:cs="Book Antiqua"/>
                <w:bCs/>
                <w:iCs/>
                <w:szCs w:val="24"/>
              </w:rPr>
              <w:t xml:space="preserve">    </w:t>
            </w:r>
            <w:r w:rsidR="00E35FD5">
              <w:rPr>
                <w:rFonts w:cs="Book Antiqua"/>
                <w:bCs/>
                <w:iCs/>
                <w:szCs w:val="24"/>
              </w:rPr>
              <w:t>18</w:t>
            </w:r>
            <w:r w:rsidR="005400EF" w:rsidRPr="00615519">
              <w:rPr>
                <w:rFonts w:cs="Book Antiqua"/>
                <w:bCs/>
                <w:iCs/>
                <w:szCs w:val="24"/>
              </w:rPr>
              <w:t>/</w:t>
            </w:r>
            <w:r w:rsidR="005A2D8A" w:rsidRPr="00615519">
              <w:rPr>
                <w:rFonts w:cs="Book Antiqua"/>
                <w:bCs/>
                <w:iCs/>
                <w:szCs w:val="24"/>
              </w:rPr>
              <w:t>0</w:t>
            </w:r>
            <w:r w:rsidR="00A160F9">
              <w:rPr>
                <w:rFonts w:cs="Book Antiqua"/>
                <w:bCs/>
                <w:iCs/>
                <w:szCs w:val="24"/>
              </w:rPr>
              <w:t>5</w:t>
            </w:r>
            <w:r w:rsidR="00C64005" w:rsidRPr="00615519">
              <w:rPr>
                <w:rFonts w:cs="Book Antiqua"/>
                <w:bCs/>
                <w:iCs/>
                <w:szCs w:val="24"/>
              </w:rPr>
              <w:t>/202</w:t>
            </w:r>
            <w:r w:rsidR="005408A0">
              <w:rPr>
                <w:rFonts w:cs="Book Antiqua"/>
                <w:bCs/>
                <w:iCs/>
                <w:szCs w:val="24"/>
              </w:rPr>
              <w:t>6</w:t>
            </w:r>
            <w:r w:rsidR="00066D01" w:rsidRPr="00615519">
              <w:rPr>
                <w:rFonts w:cs="Book Antiqua"/>
                <w:bCs/>
                <w:iCs/>
                <w:szCs w:val="24"/>
              </w:rPr>
              <w:t xml:space="preserve"> </w:t>
            </w:r>
          </w:p>
        </w:tc>
      </w:tr>
    </w:tbl>
    <w:p w14:paraId="685121A1" w14:textId="77777777" w:rsidR="00CA3103" w:rsidRPr="00615519" w:rsidRDefault="00CA3103" w:rsidP="002826CD">
      <w:pPr>
        <w:jc w:val="center"/>
      </w:pPr>
    </w:p>
    <w:p w14:paraId="0B840F28" w14:textId="77777777" w:rsidR="00AD2B98" w:rsidRPr="00615519" w:rsidRDefault="00AD2B98" w:rsidP="002826CD">
      <w:pPr>
        <w:jc w:val="center"/>
      </w:pPr>
    </w:p>
    <w:p w14:paraId="64463A0F" w14:textId="77777777" w:rsidR="00A160F9" w:rsidRDefault="000C255B" w:rsidP="00A160F9">
      <w:pPr>
        <w:jc w:val="center"/>
      </w:pPr>
      <w:r w:rsidRPr="00615519">
        <w:t xml:space="preserve">IN </w:t>
      </w:r>
      <w:r w:rsidR="00BD0E81" w:rsidRPr="00615519">
        <w:t>THE HIGH</w:t>
      </w:r>
      <w:r w:rsidR="00033281" w:rsidRPr="00615519">
        <w:t xml:space="preserve"> COU</w:t>
      </w:r>
      <w:r w:rsidR="0055170F" w:rsidRPr="00615519">
        <w:t xml:space="preserve">RT </w:t>
      </w:r>
      <w:r w:rsidR="00033281" w:rsidRPr="00615519">
        <w:t xml:space="preserve">OF </w:t>
      </w:r>
      <w:r w:rsidR="00BD0E81" w:rsidRPr="00615519">
        <w:t>JUSTICE</w:t>
      </w:r>
      <w:r w:rsidR="00033281" w:rsidRPr="00615519">
        <w:t xml:space="preserve"> </w:t>
      </w:r>
      <w:r w:rsidRPr="00615519">
        <w:t>IN NORTHERN IRELAND</w:t>
      </w:r>
    </w:p>
    <w:p w14:paraId="752E4B0E" w14:textId="77777777" w:rsidR="00A160F9" w:rsidRDefault="00FF4F3C" w:rsidP="00A160F9">
      <w:pPr>
        <w:jc w:val="center"/>
      </w:pPr>
      <w:r w:rsidRPr="00615519">
        <w:t>KING’S</w:t>
      </w:r>
      <w:r w:rsidR="00513369" w:rsidRPr="00615519">
        <w:t xml:space="preserve"> BENCH</w:t>
      </w:r>
      <w:r w:rsidR="00B94E9C" w:rsidRPr="00615519">
        <w:t xml:space="preserve"> DIVISION</w:t>
      </w:r>
      <w:r w:rsidR="00A160F9">
        <w:t xml:space="preserve"> </w:t>
      </w:r>
      <w:r w:rsidR="00614D20" w:rsidRPr="00615519">
        <w:t>(JUDICIAL REVIEW</w:t>
      </w:r>
      <w:r w:rsidR="00A160F9">
        <w:t>)</w:t>
      </w:r>
    </w:p>
    <w:p w14:paraId="0C0250B9" w14:textId="77777777" w:rsidR="00A160F9" w:rsidRPr="00615519" w:rsidRDefault="00A160F9" w:rsidP="00A160F9">
      <w:pPr>
        <w:jc w:val="center"/>
      </w:pPr>
      <w:r w:rsidRPr="00615519">
        <w:t>___________</w:t>
      </w:r>
    </w:p>
    <w:p w14:paraId="4FDF8DC4" w14:textId="77777777" w:rsidR="00A160F9" w:rsidRDefault="00A160F9" w:rsidP="00A160F9">
      <w:pPr>
        <w:jc w:val="center"/>
      </w:pPr>
    </w:p>
    <w:p w14:paraId="4E4E79C2" w14:textId="77777777" w:rsidR="00754644" w:rsidRPr="00615519" w:rsidRDefault="00614D20" w:rsidP="00A160F9">
      <w:pPr>
        <w:jc w:val="center"/>
      </w:pPr>
      <w:r w:rsidRPr="00615519">
        <w:t>IN THE MATTER OF APPLICATION</w:t>
      </w:r>
      <w:r w:rsidR="005400EF" w:rsidRPr="00615519">
        <w:t>S</w:t>
      </w:r>
      <w:r w:rsidR="00976FE3" w:rsidRPr="00615519">
        <w:t xml:space="preserve"> </w:t>
      </w:r>
      <w:r w:rsidR="00660C46" w:rsidRPr="00615519">
        <w:t>BY</w:t>
      </w:r>
    </w:p>
    <w:p w14:paraId="33A1F459" w14:textId="77777777" w:rsidR="005400EF" w:rsidRPr="00615519" w:rsidRDefault="005400EF" w:rsidP="00976FE3">
      <w:pPr>
        <w:jc w:val="center"/>
      </w:pPr>
      <w:r w:rsidRPr="00615519">
        <w:t>(1)</w:t>
      </w:r>
      <w:r w:rsidR="00754644" w:rsidRPr="00615519">
        <w:t xml:space="preserve"> </w:t>
      </w:r>
      <w:r w:rsidR="006E5FD9" w:rsidRPr="00615519">
        <w:t xml:space="preserve"> </w:t>
      </w:r>
      <w:r w:rsidR="00754644" w:rsidRPr="00615519">
        <w:t>RAYMOND FITZSIMONS (AS CHAIRMAN OF THE NORTHERN</w:t>
      </w:r>
      <w:r w:rsidR="00AD2B98" w:rsidRPr="00615519">
        <w:t> </w:t>
      </w:r>
      <w:r w:rsidR="00754644" w:rsidRPr="00615519">
        <w:t>IRELAND RETIRED POLICE OFFICERS’ ASSOCIATION)</w:t>
      </w:r>
      <w:r w:rsidR="006E5FD9" w:rsidRPr="00615519">
        <w:t>;</w:t>
      </w:r>
    </w:p>
    <w:p w14:paraId="6727D13F" w14:textId="77777777" w:rsidR="005400EF" w:rsidRPr="00615519" w:rsidRDefault="005400EF" w:rsidP="00976FE3">
      <w:pPr>
        <w:jc w:val="center"/>
      </w:pPr>
      <w:r w:rsidRPr="00615519">
        <w:t>(2)</w:t>
      </w:r>
      <w:r w:rsidR="00754644" w:rsidRPr="00615519">
        <w:t xml:space="preserve">  APPLICANT A </w:t>
      </w:r>
      <w:r w:rsidR="00F01C4D" w:rsidRPr="00615519">
        <w:t>and</w:t>
      </w:r>
      <w:r w:rsidR="00754644" w:rsidRPr="00615519">
        <w:t xml:space="preserve"> RAYMOND FITZSIMONS (AS CHAIRMAN AND REPRESENTATIVE OF THE NORTHERN IRELAND RETIRED POLICE OFFICERS’ ASSOCIATION); and</w:t>
      </w:r>
    </w:p>
    <w:p w14:paraId="7D9352B2" w14:textId="77777777" w:rsidR="00754644" w:rsidRPr="00615519" w:rsidRDefault="005400EF" w:rsidP="00E857EE">
      <w:pPr>
        <w:jc w:val="center"/>
      </w:pPr>
      <w:r w:rsidRPr="00615519">
        <w:t>(3)  JR217</w:t>
      </w:r>
      <w:r w:rsidR="00754644" w:rsidRPr="00615519">
        <w:t>;</w:t>
      </w:r>
    </w:p>
    <w:p w14:paraId="17D87DB0" w14:textId="77777777" w:rsidR="00614D20" w:rsidRPr="00615519" w:rsidRDefault="008C531F" w:rsidP="00976FE3">
      <w:pPr>
        <w:jc w:val="center"/>
      </w:pPr>
      <w:r w:rsidRPr="00615519">
        <w:t xml:space="preserve">FOR </w:t>
      </w:r>
      <w:r w:rsidR="00614D20" w:rsidRPr="00615519">
        <w:t>JUDICIAL REVIEW</w:t>
      </w:r>
    </w:p>
    <w:p w14:paraId="675A88B3" w14:textId="77777777" w:rsidR="00FF4F3C" w:rsidRPr="00615519" w:rsidRDefault="00FF4F3C" w:rsidP="00976FE3">
      <w:pPr>
        <w:jc w:val="center"/>
      </w:pPr>
    </w:p>
    <w:p w14:paraId="173B2AF9" w14:textId="77777777" w:rsidR="00FF4F3C" w:rsidRPr="00615519" w:rsidRDefault="00FF4F3C" w:rsidP="00976FE3">
      <w:pPr>
        <w:jc w:val="center"/>
      </w:pPr>
      <w:r w:rsidRPr="00615519">
        <w:t>AND IN THE MATTER OF DECISION</w:t>
      </w:r>
      <w:r w:rsidR="005400EF" w:rsidRPr="00615519">
        <w:t>S</w:t>
      </w:r>
      <w:r w:rsidRPr="00615519">
        <w:t xml:space="preserve"> OF</w:t>
      </w:r>
    </w:p>
    <w:p w14:paraId="53EC542B" w14:textId="77777777" w:rsidR="00FF4F3C" w:rsidRPr="00615519" w:rsidRDefault="00FF4F3C" w:rsidP="00976FE3">
      <w:pPr>
        <w:jc w:val="center"/>
      </w:pPr>
      <w:r w:rsidRPr="00615519">
        <w:t>THE</w:t>
      </w:r>
      <w:r w:rsidR="005400EF" w:rsidRPr="00615519">
        <w:t xml:space="preserve"> POLICE OMBUDSMAN FOR NORTHERN IRELAND</w:t>
      </w:r>
    </w:p>
    <w:p w14:paraId="2C65DAED" w14:textId="77777777" w:rsidR="005E6542" w:rsidRPr="00615519" w:rsidRDefault="005E6542" w:rsidP="005E6542">
      <w:pPr>
        <w:jc w:val="center"/>
      </w:pPr>
      <w:r w:rsidRPr="00615519">
        <w:t>____</w:t>
      </w:r>
      <w:r w:rsidR="005A5BC1" w:rsidRPr="00615519">
        <w:t>___</w:t>
      </w:r>
      <w:r w:rsidRPr="00615519">
        <w:t>____</w:t>
      </w:r>
    </w:p>
    <w:p w14:paraId="5A8C7FC0" w14:textId="77777777" w:rsidR="007A002B" w:rsidRPr="00615519" w:rsidRDefault="007A002B" w:rsidP="007A002B">
      <w:pPr>
        <w:jc w:val="center"/>
        <w:rPr>
          <w:bCs/>
          <w:sz w:val="27"/>
          <w:szCs w:val="27"/>
        </w:rPr>
      </w:pPr>
    </w:p>
    <w:p w14:paraId="5B0DD7CB" w14:textId="77777777" w:rsidR="007111C8" w:rsidRPr="00615519" w:rsidRDefault="005400EF" w:rsidP="00767A0B">
      <w:pPr>
        <w:jc w:val="center"/>
        <w:rPr>
          <w:bCs/>
          <w:sz w:val="22"/>
          <w:szCs w:val="22"/>
        </w:rPr>
      </w:pPr>
      <w:r w:rsidRPr="00615519">
        <w:rPr>
          <w:bCs/>
          <w:sz w:val="22"/>
          <w:szCs w:val="22"/>
        </w:rPr>
        <w:t>David McMillen KC and Richard Smyth</w:t>
      </w:r>
      <w:r w:rsidR="00660C46" w:rsidRPr="00615519">
        <w:rPr>
          <w:bCs/>
          <w:sz w:val="22"/>
          <w:szCs w:val="22"/>
        </w:rPr>
        <w:t xml:space="preserve"> </w:t>
      </w:r>
      <w:r w:rsidR="006512A7" w:rsidRPr="00615519">
        <w:rPr>
          <w:bCs/>
          <w:sz w:val="22"/>
          <w:szCs w:val="22"/>
        </w:rPr>
        <w:t>(</w:t>
      </w:r>
      <w:r w:rsidR="002B08C9" w:rsidRPr="00615519">
        <w:rPr>
          <w:bCs/>
          <w:sz w:val="22"/>
          <w:szCs w:val="22"/>
        </w:rPr>
        <w:t xml:space="preserve">instructed by </w:t>
      </w:r>
      <w:r w:rsidRPr="00615519">
        <w:rPr>
          <w:bCs/>
          <w:sz w:val="22"/>
          <w:szCs w:val="22"/>
        </w:rPr>
        <w:t>Edwards &amp; Co</w:t>
      </w:r>
      <w:r w:rsidR="002B08C9" w:rsidRPr="00615519">
        <w:rPr>
          <w:bCs/>
          <w:sz w:val="22"/>
          <w:szCs w:val="22"/>
        </w:rPr>
        <w:t>, Solicitor</w:t>
      </w:r>
      <w:r w:rsidR="00F01C4D" w:rsidRPr="00615519">
        <w:rPr>
          <w:bCs/>
          <w:sz w:val="22"/>
          <w:szCs w:val="22"/>
        </w:rPr>
        <w:t>s</w:t>
      </w:r>
      <w:r w:rsidR="006512A7" w:rsidRPr="00615519">
        <w:rPr>
          <w:bCs/>
          <w:sz w:val="22"/>
          <w:szCs w:val="22"/>
        </w:rPr>
        <w:t xml:space="preserve">) </w:t>
      </w:r>
      <w:r w:rsidR="002B08C9" w:rsidRPr="00615519">
        <w:rPr>
          <w:bCs/>
          <w:sz w:val="22"/>
          <w:szCs w:val="22"/>
        </w:rPr>
        <w:t>for the applicant</w:t>
      </w:r>
      <w:r w:rsidRPr="00615519">
        <w:rPr>
          <w:bCs/>
          <w:sz w:val="22"/>
          <w:szCs w:val="22"/>
        </w:rPr>
        <w:t xml:space="preserve">s in the </w:t>
      </w:r>
      <w:r w:rsidR="00444200" w:rsidRPr="00615519">
        <w:rPr>
          <w:bCs/>
          <w:sz w:val="22"/>
          <w:szCs w:val="22"/>
        </w:rPr>
        <w:t xml:space="preserve">first and </w:t>
      </w:r>
      <w:r w:rsidRPr="00615519">
        <w:rPr>
          <w:bCs/>
          <w:sz w:val="22"/>
          <w:szCs w:val="22"/>
        </w:rPr>
        <w:t>third case</w:t>
      </w:r>
      <w:r w:rsidR="00444200" w:rsidRPr="00615519">
        <w:rPr>
          <w:bCs/>
          <w:sz w:val="22"/>
          <w:szCs w:val="22"/>
        </w:rPr>
        <w:t>s</w:t>
      </w:r>
    </w:p>
    <w:p w14:paraId="3D1C67EE" w14:textId="77777777" w:rsidR="00444200" w:rsidRPr="00615519" w:rsidRDefault="00444200" w:rsidP="00444200">
      <w:pPr>
        <w:jc w:val="center"/>
        <w:rPr>
          <w:bCs/>
          <w:sz w:val="22"/>
          <w:szCs w:val="22"/>
        </w:rPr>
      </w:pPr>
      <w:r w:rsidRPr="00615519">
        <w:rPr>
          <w:bCs/>
          <w:sz w:val="22"/>
          <w:szCs w:val="22"/>
        </w:rPr>
        <w:t xml:space="preserve">David McMillen KC and Andrew Brown (instructed by </w:t>
      </w:r>
      <w:r w:rsidR="00A915C7" w:rsidRPr="00615519">
        <w:rPr>
          <w:bCs/>
          <w:sz w:val="22"/>
          <w:szCs w:val="22"/>
        </w:rPr>
        <w:t>McCartan Turkington Breen</w:t>
      </w:r>
      <w:r w:rsidRPr="00615519">
        <w:rPr>
          <w:bCs/>
          <w:sz w:val="22"/>
          <w:szCs w:val="22"/>
        </w:rPr>
        <w:t>, Solicitor</w:t>
      </w:r>
      <w:r w:rsidR="00F01C4D" w:rsidRPr="00615519">
        <w:rPr>
          <w:bCs/>
          <w:sz w:val="22"/>
          <w:szCs w:val="22"/>
        </w:rPr>
        <w:t>s</w:t>
      </w:r>
      <w:r w:rsidRPr="00615519">
        <w:rPr>
          <w:bCs/>
          <w:sz w:val="22"/>
          <w:szCs w:val="22"/>
        </w:rPr>
        <w:t>) for the applicants in the second case</w:t>
      </w:r>
    </w:p>
    <w:p w14:paraId="05CBDF7E" w14:textId="77777777" w:rsidR="00444200" w:rsidRPr="00615519" w:rsidRDefault="00F57D48" w:rsidP="00444200">
      <w:pPr>
        <w:jc w:val="center"/>
        <w:rPr>
          <w:bCs/>
          <w:sz w:val="22"/>
          <w:szCs w:val="22"/>
        </w:rPr>
      </w:pPr>
      <w:r w:rsidRPr="00615519">
        <w:rPr>
          <w:bCs/>
          <w:sz w:val="22"/>
          <w:szCs w:val="22"/>
        </w:rPr>
        <w:t xml:space="preserve">Simon </w:t>
      </w:r>
      <w:r w:rsidR="00444200" w:rsidRPr="00615519">
        <w:rPr>
          <w:bCs/>
          <w:sz w:val="22"/>
          <w:szCs w:val="22"/>
        </w:rPr>
        <w:t>McKay (</w:t>
      </w:r>
      <w:r w:rsidRPr="00615519">
        <w:rPr>
          <w:bCs/>
          <w:sz w:val="22"/>
          <w:szCs w:val="22"/>
        </w:rPr>
        <w:t>instructed by</w:t>
      </w:r>
      <w:r w:rsidR="00517A52" w:rsidRPr="00615519">
        <w:rPr>
          <w:bCs/>
          <w:sz w:val="22"/>
          <w:szCs w:val="22"/>
        </w:rPr>
        <w:t xml:space="preserve"> the</w:t>
      </w:r>
      <w:r w:rsidR="00F01C4D" w:rsidRPr="00615519">
        <w:rPr>
          <w:bCs/>
          <w:sz w:val="22"/>
          <w:szCs w:val="22"/>
        </w:rPr>
        <w:t xml:space="preserve"> </w:t>
      </w:r>
      <w:r w:rsidR="00517A52" w:rsidRPr="00615519">
        <w:rPr>
          <w:bCs/>
          <w:sz w:val="22"/>
          <w:szCs w:val="22"/>
        </w:rPr>
        <w:t xml:space="preserve">Legal Directorate of </w:t>
      </w:r>
      <w:r w:rsidR="00F01C4D" w:rsidRPr="00615519">
        <w:rPr>
          <w:bCs/>
          <w:sz w:val="22"/>
          <w:szCs w:val="22"/>
        </w:rPr>
        <w:t>the Office of the Police Ombudsman</w:t>
      </w:r>
      <w:r w:rsidR="00444200" w:rsidRPr="00615519">
        <w:rPr>
          <w:bCs/>
          <w:sz w:val="22"/>
          <w:szCs w:val="22"/>
        </w:rPr>
        <w:t xml:space="preserve">) for the respondent in the first and second cases </w:t>
      </w:r>
    </w:p>
    <w:p w14:paraId="7949A9EE" w14:textId="77777777" w:rsidR="005400EF" w:rsidRDefault="005400EF" w:rsidP="005400EF">
      <w:pPr>
        <w:jc w:val="center"/>
        <w:rPr>
          <w:bCs/>
          <w:sz w:val="22"/>
          <w:szCs w:val="22"/>
        </w:rPr>
      </w:pPr>
      <w:r w:rsidRPr="00615519">
        <w:rPr>
          <w:bCs/>
          <w:sz w:val="22"/>
          <w:szCs w:val="22"/>
        </w:rPr>
        <w:t xml:space="preserve">Neasa Murnaghan KC and Steven McQuitty </w:t>
      </w:r>
      <w:r w:rsidR="007111C8" w:rsidRPr="00615519">
        <w:rPr>
          <w:bCs/>
          <w:sz w:val="22"/>
          <w:szCs w:val="22"/>
        </w:rPr>
        <w:t>(</w:t>
      </w:r>
      <w:r w:rsidR="00F01C4D" w:rsidRPr="00615519">
        <w:rPr>
          <w:bCs/>
          <w:sz w:val="22"/>
          <w:szCs w:val="22"/>
        </w:rPr>
        <w:t xml:space="preserve">instructed by </w:t>
      </w:r>
      <w:r w:rsidR="00517A52" w:rsidRPr="00615519">
        <w:rPr>
          <w:bCs/>
          <w:sz w:val="22"/>
          <w:szCs w:val="22"/>
        </w:rPr>
        <w:t xml:space="preserve">the Legal Directorate of </w:t>
      </w:r>
      <w:r w:rsidR="00F01C4D" w:rsidRPr="00615519">
        <w:rPr>
          <w:bCs/>
          <w:sz w:val="22"/>
          <w:szCs w:val="22"/>
        </w:rPr>
        <w:t>the Office of the Police Ombudsman</w:t>
      </w:r>
      <w:r w:rsidR="007111C8" w:rsidRPr="00615519">
        <w:rPr>
          <w:bCs/>
          <w:sz w:val="22"/>
          <w:szCs w:val="22"/>
        </w:rPr>
        <w:t xml:space="preserve">) for the </w:t>
      </w:r>
      <w:r w:rsidR="00A71F8F" w:rsidRPr="00615519">
        <w:rPr>
          <w:bCs/>
          <w:sz w:val="22"/>
          <w:szCs w:val="22"/>
        </w:rPr>
        <w:t>respondent</w:t>
      </w:r>
      <w:r w:rsidRPr="00615519">
        <w:rPr>
          <w:bCs/>
          <w:sz w:val="22"/>
          <w:szCs w:val="22"/>
        </w:rPr>
        <w:t xml:space="preserve"> in the </w:t>
      </w:r>
      <w:r w:rsidR="00F01C4D" w:rsidRPr="00615519">
        <w:rPr>
          <w:bCs/>
          <w:sz w:val="22"/>
          <w:szCs w:val="22"/>
        </w:rPr>
        <w:t>third</w:t>
      </w:r>
      <w:r w:rsidRPr="00615519">
        <w:rPr>
          <w:bCs/>
          <w:sz w:val="22"/>
          <w:szCs w:val="22"/>
        </w:rPr>
        <w:t xml:space="preserve"> case</w:t>
      </w:r>
    </w:p>
    <w:p w14:paraId="1A090267" w14:textId="77777777" w:rsidR="00AD2B98" w:rsidRPr="00615519" w:rsidRDefault="007A002B" w:rsidP="00E857EE">
      <w:pPr>
        <w:jc w:val="center"/>
      </w:pPr>
      <w:r w:rsidRPr="00615519">
        <w:t>___________</w:t>
      </w:r>
    </w:p>
    <w:p w14:paraId="66ADF578" w14:textId="77777777" w:rsidR="00AD2B98" w:rsidRPr="00615519" w:rsidRDefault="00AD2B98" w:rsidP="00513369">
      <w:pPr>
        <w:jc w:val="both"/>
        <w:rPr>
          <w:u w:val="single"/>
        </w:rPr>
      </w:pPr>
    </w:p>
    <w:p w14:paraId="3AAEE472" w14:textId="77777777" w:rsidR="00641FAA" w:rsidRPr="00A160F9" w:rsidRDefault="00A160F9" w:rsidP="00A160F9">
      <w:pPr>
        <w:jc w:val="center"/>
      </w:pPr>
      <w:r w:rsidRPr="00A160F9">
        <w:t>RULING</w:t>
      </w:r>
      <w:r>
        <w:t xml:space="preserve"> ON RELIEF AND COSTS</w:t>
      </w:r>
      <w:r w:rsidRPr="00A160F9">
        <w:t xml:space="preserve"> </w:t>
      </w:r>
    </w:p>
    <w:p w14:paraId="627EB9CF" w14:textId="77777777" w:rsidR="00A160F9" w:rsidRPr="00615519" w:rsidRDefault="00A160F9" w:rsidP="00A160F9">
      <w:pPr>
        <w:jc w:val="center"/>
      </w:pPr>
      <w:r w:rsidRPr="00615519">
        <w:t>___________</w:t>
      </w:r>
    </w:p>
    <w:p w14:paraId="32AB3695" w14:textId="77777777" w:rsidR="00A160F9" w:rsidRDefault="00A160F9" w:rsidP="00513369">
      <w:pPr>
        <w:jc w:val="both"/>
        <w:rPr>
          <w:u w:val="single"/>
        </w:rPr>
      </w:pPr>
    </w:p>
    <w:p w14:paraId="6D59B9AF" w14:textId="77777777" w:rsidR="000C255B" w:rsidRPr="00615519" w:rsidRDefault="00F26F8C" w:rsidP="00513369">
      <w:pPr>
        <w:jc w:val="both"/>
      </w:pPr>
      <w:r w:rsidRPr="00615519">
        <w:rPr>
          <w:u w:val="single"/>
        </w:rPr>
        <w:t>S</w:t>
      </w:r>
      <w:r w:rsidR="009B4906" w:rsidRPr="00615519">
        <w:rPr>
          <w:u w:val="single"/>
        </w:rPr>
        <w:t>COFFIELD</w:t>
      </w:r>
      <w:r w:rsidR="00BD0E81" w:rsidRPr="00615519">
        <w:rPr>
          <w:u w:val="single"/>
        </w:rPr>
        <w:t xml:space="preserve"> </w:t>
      </w:r>
      <w:r w:rsidR="000C255B" w:rsidRPr="00615519">
        <w:rPr>
          <w:u w:val="single"/>
        </w:rPr>
        <w:t>J</w:t>
      </w:r>
      <w:r w:rsidR="00BD0E81" w:rsidRPr="00615519">
        <w:t xml:space="preserve"> </w:t>
      </w:r>
    </w:p>
    <w:p w14:paraId="26355A53" w14:textId="77777777" w:rsidR="000C255B" w:rsidRPr="00615519" w:rsidRDefault="000C255B" w:rsidP="002826CD">
      <w:pPr>
        <w:jc w:val="both"/>
        <w:rPr>
          <w:u w:val="single"/>
        </w:rPr>
      </w:pPr>
    </w:p>
    <w:p w14:paraId="67D6DD6B" w14:textId="77777777" w:rsidR="00D603F9" w:rsidRPr="00615519" w:rsidRDefault="00D603F9" w:rsidP="00D603F9">
      <w:pPr>
        <w:jc w:val="both"/>
        <w:rPr>
          <w:i/>
          <w:szCs w:val="24"/>
        </w:rPr>
      </w:pPr>
      <w:r w:rsidRPr="00615519">
        <w:rPr>
          <w:i/>
          <w:szCs w:val="24"/>
        </w:rPr>
        <w:t>Introduction</w:t>
      </w:r>
    </w:p>
    <w:p w14:paraId="38F945B6" w14:textId="77777777" w:rsidR="00D603F9" w:rsidRPr="00615519" w:rsidRDefault="00D603F9" w:rsidP="008C531F">
      <w:pPr>
        <w:jc w:val="both"/>
        <w:rPr>
          <w:b w:val="0"/>
          <w:szCs w:val="24"/>
        </w:rPr>
      </w:pPr>
    </w:p>
    <w:p w14:paraId="4DF429EA" w14:textId="77777777" w:rsidR="005408A0" w:rsidRDefault="00786E55" w:rsidP="005400EF">
      <w:pPr>
        <w:jc w:val="both"/>
        <w:rPr>
          <w:b w:val="0"/>
          <w:szCs w:val="24"/>
        </w:rPr>
      </w:pPr>
      <w:r w:rsidRPr="00615519">
        <w:rPr>
          <w:b w:val="0"/>
          <w:szCs w:val="24"/>
        </w:rPr>
        <w:t>[1]</w:t>
      </w:r>
      <w:r w:rsidRPr="00615519">
        <w:rPr>
          <w:b w:val="0"/>
          <w:szCs w:val="24"/>
        </w:rPr>
        <w:tab/>
      </w:r>
      <w:r w:rsidR="005400EF" w:rsidRPr="00615519">
        <w:rPr>
          <w:b w:val="0"/>
          <w:szCs w:val="24"/>
        </w:rPr>
        <w:t>There are three applications for judicial review before the court which raise the same or similar issues</w:t>
      </w:r>
      <w:r w:rsidR="005408A0">
        <w:rPr>
          <w:b w:val="0"/>
          <w:szCs w:val="24"/>
        </w:rPr>
        <w:t xml:space="preserve">, each challenging a </w:t>
      </w:r>
      <w:r w:rsidR="005400EF" w:rsidRPr="00615519">
        <w:rPr>
          <w:b w:val="0"/>
          <w:szCs w:val="24"/>
        </w:rPr>
        <w:t>public statement made by the Police Ombudsman for Northern Ireland (PONI) (“the Ombudsman”) under section 62 of the Police (Northern Ireland) Act 1998 (“the 1998 Act”</w:t>
      </w:r>
      <w:r w:rsidR="00245F73" w:rsidRPr="00615519">
        <w:rPr>
          <w:b w:val="0"/>
          <w:szCs w:val="24"/>
        </w:rPr>
        <w:t>)</w:t>
      </w:r>
      <w:r w:rsidR="006E5FD9" w:rsidRPr="00615519">
        <w:rPr>
          <w:b w:val="0"/>
          <w:szCs w:val="24"/>
        </w:rPr>
        <w:t xml:space="preserve">.  </w:t>
      </w:r>
      <w:r w:rsidR="005408A0">
        <w:rPr>
          <w:b w:val="0"/>
          <w:szCs w:val="24"/>
        </w:rPr>
        <w:t xml:space="preserve">I have previously given a substantive judgment in relation to the applications for judicial review: [2025] NIKB </w:t>
      </w:r>
      <w:r w:rsidR="005408A0">
        <w:rPr>
          <w:b w:val="0"/>
          <w:szCs w:val="24"/>
        </w:rPr>
        <w:lastRenderedPageBreak/>
        <w:t>7</w:t>
      </w:r>
      <w:r w:rsidR="0018537F">
        <w:rPr>
          <w:b w:val="0"/>
          <w:szCs w:val="24"/>
        </w:rPr>
        <w:t xml:space="preserve"> (“the substantive judgment”)</w:t>
      </w:r>
      <w:r w:rsidR="005408A0">
        <w:rPr>
          <w:b w:val="0"/>
          <w:szCs w:val="24"/>
        </w:rPr>
        <w:t>.  This ruling deals with ancillary issues arising out of the judgment, namely the issue of the relief to be granted in each case and costs.</w:t>
      </w:r>
    </w:p>
    <w:p w14:paraId="2AF8C4D6" w14:textId="77777777" w:rsidR="005408A0" w:rsidRDefault="005408A0" w:rsidP="005400EF">
      <w:pPr>
        <w:jc w:val="both"/>
        <w:rPr>
          <w:b w:val="0"/>
          <w:szCs w:val="24"/>
        </w:rPr>
      </w:pPr>
    </w:p>
    <w:p w14:paraId="24A3FC84" w14:textId="77777777" w:rsidR="005408A0" w:rsidRDefault="005408A0" w:rsidP="005408A0">
      <w:pPr>
        <w:pStyle w:val="ListParagraph"/>
        <w:ind w:left="0"/>
        <w:jc w:val="both"/>
        <w:rPr>
          <w:b w:val="0"/>
          <w:szCs w:val="24"/>
        </w:rPr>
      </w:pPr>
      <w:r>
        <w:rPr>
          <w:b w:val="0"/>
          <w:szCs w:val="24"/>
        </w:rPr>
        <w:t>[2]</w:t>
      </w:r>
      <w:r>
        <w:rPr>
          <w:b w:val="0"/>
          <w:szCs w:val="24"/>
        </w:rPr>
        <w:tab/>
      </w:r>
      <w:r w:rsidRPr="00615519">
        <w:rPr>
          <w:b w:val="0"/>
          <w:szCs w:val="24"/>
        </w:rPr>
        <w:t xml:space="preserve">The first case </w:t>
      </w:r>
      <w:r>
        <w:rPr>
          <w:b w:val="0"/>
          <w:szCs w:val="24"/>
        </w:rPr>
        <w:t xml:space="preserve">was </w:t>
      </w:r>
      <w:r w:rsidRPr="00615519">
        <w:rPr>
          <w:b w:val="0"/>
          <w:szCs w:val="24"/>
        </w:rPr>
        <w:t>brought by Mr Raymond Fitzsimons, acting as Chairman of the Northern Ireland Retired Police Officers’ Association (NIRPOA)</w:t>
      </w:r>
      <w:r w:rsidR="00BF24A4">
        <w:rPr>
          <w:b w:val="0"/>
          <w:szCs w:val="24"/>
        </w:rPr>
        <w:t>,</w:t>
      </w:r>
      <w:r>
        <w:rPr>
          <w:b w:val="0"/>
          <w:szCs w:val="24"/>
        </w:rPr>
        <w:t xml:space="preserve"> </w:t>
      </w:r>
      <w:r w:rsidRPr="00615519">
        <w:rPr>
          <w:b w:val="0"/>
          <w:szCs w:val="24"/>
        </w:rPr>
        <w:t>challeng</w:t>
      </w:r>
      <w:r>
        <w:rPr>
          <w:b w:val="0"/>
          <w:szCs w:val="24"/>
        </w:rPr>
        <w:t>ing</w:t>
      </w:r>
      <w:r w:rsidRPr="00615519">
        <w:rPr>
          <w:b w:val="0"/>
          <w:szCs w:val="24"/>
        </w:rPr>
        <w:t xml:space="preserve"> the Ombudsman</w:t>
      </w:r>
      <w:r>
        <w:rPr>
          <w:b w:val="0"/>
          <w:szCs w:val="24"/>
        </w:rPr>
        <w:t xml:space="preserve">’s ‘Operation Greenwich’ public statement published </w:t>
      </w:r>
      <w:r w:rsidRPr="00615519">
        <w:rPr>
          <w:b w:val="0"/>
          <w:szCs w:val="24"/>
        </w:rPr>
        <w:t>on 13 January 2022</w:t>
      </w:r>
      <w:r>
        <w:rPr>
          <w:b w:val="0"/>
          <w:szCs w:val="24"/>
        </w:rPr>
        <w:t xml:space="preserve">.  </w:t>
      </w:r>
      <w:r w:rsidRPr="00615519">
        <w:rPr>
          <w:b w:val="0"/>
          <w:szCs w:val="24"/>
        </w:rPr>
        <w:t xml:space="preserve">The second case </w:t>
      </w:r>
      <w:r w:rsidR="00BF24A4">
        <w:rPr>
          <w:b w:val="0"/>
          <w:szCs w:val="24"/>
        </w:rPr>
        <w:t>wa</w:t>
      </w:r>
      <w:r w:rsidRPr="00615519">
        <w:rPr>
          <w:b w:val="0"/>
          <w:szCs w:val="24"/>
        </w:rPr>
        <w:t>s brought by Applicant A, a retired police officer</w:t>
      </w:r>
      <w:r>
        <w:rPr>
          <w:b w:val="0"/>
          <w:szCs w:val="24"/>
        </w:rPr>
        <w:t>,</w:t>
      </w:r>
      <w:r w:rsidRPr="00615519">
        <w:rPr>
          <w:b w:val="0"/>
          <w:szCs w:val="24"/>
        </w:rPr>
        <w:t xml:space="preserve"> </w:t>
      </w:r>
      <w:r w:rsidR="00BF24A4">
        <w:rPr>
          <w:b w:val="0"/>
          <w:szCs w:val="24"/>
        </w:rPr>
        <w:t>along with</w:t>
      </w:r>
      <w:r>
        <w:rPr>
          <w:b w:val="0"/>
          <w:szCs w:val="24"/>
        </w:rPr>
        <w:t xml:space="preserve"> </w:t>
      </w:r>
      <w:r w:rsidRPr="00615519">
        <w:rPr>
          <w:b w:val="0"/>
          <w:szCs w:val="24"/>
        </w:rPr>
        <w:t>Mr Fitzsimons</w:t>
      </w:r>
      <w:r>
        <w:rPr>
          <w:b w:val="0"/>
          <w:szCs w:val="24"/>
        </w:rPr>
        <w:t xml:space="preserve"> (acting in the same capacity as above), challenging the Ombudman’s ‘Operation Achille’ public statement published on </w:t>
      </w:r>
      <w:r w:rsidRPr="00615519">
        <w:rPr>
          <w:b w:val="0"/>
          <w:szCs w:val="24"/>
        </w:rPr>
        <w:t>8 February 2022</w:t>
      </w:r>
      <w:r>
        <w:rPr>
          <w:b w:val="0"/>
          <w:szCs w:val="24"/>
        </w:rPr>
        <w:t xml:space="preserve">.  The third case was brought by </w:t>
      </w:r>
      <w:r w:rsidRPr="00615519">
        <w:rPr>
          <w:b w:val="0"/>
          <w:szCs w:val="24"/>
        </w:rPr>
        <w:t>JR217, a retired police officer</w:t>
      </w:r>
      <w:r>
        <w:rPr>
          <w:b w:val="0"/>
          <w:szCs w:val="24"/>
        </w:rPr>
        <w:t xml:space="preserve">, challenging the Ombudsman’s ‘Operation Farrier’ public statement published on </w:t>
      </w:r>
      <w:r w:rsidRPr="00615519">
        <w:rPr>
          <w:b w:val="0"/>
          <w:szCs w:val="24"/>
        </w:rPr>
        <w:t>10 June 2022</w:t>
      </w:r>
      <w:r>
        <w:rPr>
          <w:b w:val="0"/>
          <w:szCs w:val="24"/>
        </w:rPr>
        <w:t xml:space="preserve">.  As noted in the </w:t>
      </w:r>
      <w:r w:rsidR="00BF24A4">
        <w:rPr>
          <w:b w:val="0"/>
          <w:szCs w:val="24"/>
        </w:rPr>
        <w:t xml:space="preserve">substantive </w:t>
      </w:r>
      <w:r>
        <w:rPr>
          <w:b w:val="0"/>
          <w:szCs w:val="24"/>
        </w:rPr>
        <w:t>judgment, JR217 sadly passed away during the course of the proceedings before judgment.</w:t>
      </w:r>
    </w:p>
    <w:p w14:paraId="421B2553" w14:textId="77777777" w:rsidR="005408A0" w:rsidRDefault="005408A0" w:rsidP="005408A0">
      <w:pPr>
        <w:pStyle w:val="ListParagraph"/>
        <w:ind w:left="0"/>
        <w:jc w:val="both"/>
        <w:rPr>
          <w:b w:val="0"/>
          <w:szCs w:val="24"/>
        </w:rPr>
      </w:pPr>
    </w:p>
    <w:p w14:paraId="2673C509" w14:textId="77777777" w:rsidR="005408A0" w:rsidRDefault="005408A0" w:rsidP="005400EF">
      <w:pPr>
        <w:jc w:val="both"/>
        <w:rPr>
          <w:b w:val="0"/>
          <w:szCs w:val="24"/>
        </w:rPr>
      </w:pPr>
      <w:r>
        <w:rPr>
          <w:b w:val="0"/>
          <w:szCs w:val="24"/>
        </w:rPr>
        <w:t>[3]</w:t>
      </w:r>
      <w:r>
        <w:rPr>
          <w:b w:val="0"/>
          <w:szCs w:val="24"/>
        </w:rPr>
        <w:tab/>
        <w:t>I am grateful to all counsel for their helpful written and oral submissions</w:t>
      </w:r>
      <w:r w:rsidR="00BF24A4">
        <w:rPr>
          <w:b w:val="0"/>
          <w:szCs w:val="24"/>
        </w:rPr>
        <w:t xml:space="preserve"> on the issues of costs and relief</w:t>
      </w:r>
      <w:r>
        <w:rPr>
          <w:b w:val="0"/>
          <w:szCs w:val="24"/>
        </w:rPr>
        <w:t>.</w:t>
      </w:r>
    </w:p>
    <w:p w14:paraId="425AA29E" w14:textId="77777777" w:rsidR="005408A0" w:rsidRDefault="005408A0" w:rsidP="005400EF">
      <w:pPr>
        <w:jc w:val="both"/>
        <w:rPr>
          <w:b w:val="0"/>
          <w:szCs w:val="24"/>
        </w:rPr>
      </w:pPr>
    </w:p>
    <w:p w14:paraId="2A1D51A7" w14:textId="77777777" w:rsidR="005408A0" w:rsidRPr="005408A0" w:rsidRDefault="005408A0" w:rsidP="005400EF">
      <w:pPr>
        <w:jc w:val="both"/>
        <w:rPr>
          <w:bCs/>
          <w:i/>
          <w:iCs/>
          <w:szCs w:val="24"/>
        </w:rPr>
      </w:pPr>
      <w:r w:rsidRPr="005408A0">
        <w:rPr>
          <w:bCs/>
          <w:i/>
          <w:iCs/>
          <w:szCs w:val="24"/>
        </w:rPr>
        <w:t>Relief</w:t>
      </w:r>
    </w:p>
    <w:p w14:paraId="41D24DBB" w14:textId="77777777" w:rsidR="005408A0" w:rsidRDefault="005408A0" w:rsidP="005400EF">
      <w:pPr>
        <w:jc w:val="both"/>
        <w:rPr>
          <w:b w:val="0"/>
          <w:szCs w:val="24"/>
        </w:rPr>
      </w:pPr>
    </w:p>
    <w:p w14:paraId="3BFCE583" w14:textId="77777777" w:rsidR="006059A9" w:rsidRPr="006059A9" w:rsidRDefault="006059A9" w:rsidP="005400EF">
      <w:pPr>
        <w:jc w:val="both"/>
        <w:rPr>
          <w:b w:val="0"/>
          <w:szCs w:val="24"/>
        </w:rPr>
      </w:pPr>
      <w:r>
        <w:rPr>
          <w:b w:val="0"/>
          <w:szCs w:val="24"/>
        </w:rPr>
        <w:t>[</w:t>
      </w:r>
      <w:r w:rsidR="002753AA">
        <w:rPr>
          <w:b w:val="0"/>
          <w:szCs w:val="24"/>
        </w:rPr>
        <w:t>4</w:t>
      </w:r>
      <w:r>
        <w:rPr>
          <w:b w:val="0"/>
          <w:szCs w:val="24"/>
        </w:rPr>
        <w:t>]</w:t>
      </w:r>
      <w:r>
        <w:rPr>
          <w:b w:val="0"/>
          <w:szCs w:val="24"/>
        </w:rPr>
        <w:tab/>
        <w:t>After consideration of the judgment and engagement between the parties, it was agreed between them that the relief to be granted should not be a quashing of the public statements or an order that they be withdrawn entirely from publication.  This was a pragmatic view on the part of the applicants</w:t>
      </w:r>
      <w:r w:rsidR="00BF24A4">
        <w:rPr>
          <w:b w:val="0"/>
          <w:szCs w:val="24"/>
        </w:rPr>
        <w:t>,</w:t>
      </w:r>
      <w:r>
        <w:rPr>
          <w:b w:val="0"/>
          <w:szCs w:val="24"/>
        </w:rPr>
        <w:t xml:space="preserve"> taken (at least partly) on the basis that the statements had been publicly available for some time.  It was not possible to put the genie back in the bottle.  In addition, that was not the approach taken by the Court of Appeal in the </w:t>
      </w:r>
      <w:r w:rsidR="00BF24A4">
        <w:rPr>
          <w:b w:val="0"/>
          <w:szCs w:val="24"/>
        </w:rPr>
        <w:t xml:space="preserve">earlier </w:t>
      </w:r>
      <w:r>
        <w:rPr>
          <w:b w:val="0"/>
          <w:i/>
          <w:iCs/>
          <w:szCs w:val="24"/>
        </w:rPr>
        <w:t>Hawthorne and White</w:t>
      </w:r>
      <w:r>
        <w:rPr>
          <w:b w:val="0"/>
          <w:szCs w:val="24"/>
        </w:rPr>
        <w:t xml:space="preserve"> litigation</w:t>
      </w:r>
      <w:r w:rsidR="0018537F">
        <w:rPr>
          <w:b w:val="0"/>
          <w:szCs w:val="24"/>
        </w:rPr>
        <w:t xml:space="preserve">: see para [57] of </w:t>
      </w:r>
      <w:r w:rsidR="00BF24A4">
        <w:rPr>
          <w:b w:val="0"/>
          <w:szCs w:val="24"/>
        </w:rPr>
        <w:t>the</w:t>
      </w:r>
      <w:r w:rsidR="0018537F">
        <w:rPr>
          <w:b w:val="0"/>
          <w:szCs w:val="24"/>
        </w:rPr>
        <w:t xml:space="preserve"> substantive judgment.</w:t>
      </w:r>
      <w:r>
        <w:rPr>
          <w:b w:val="0"/>
          <w:szCs w:val="24"/>
        </w:rPr>
        <w:t xml:space="preserve">  Rather, a more tailored approach was adopted in that case whereby the public statement was permitted to remain available but with a ‘health warning’ in relation to some of its contents in light of the court’s judgment</w:t>
      </w:r>
      <w:r w:rsidR="00BF24A4">
        <w:rPr>
          <w:b w:val="0"/>
          <w:szCs w:val="24"/>
        </w:rPr>
        <w:t>, which the Ombudsman was ordered to publish</w:t>
      </w:r>
      <w:r>
        <w:rPr>
          <w:b w:val="0"/>
          <w:szCs w:val="24"/>
        </w:rPr>
        <w:t>.</w:t>
      </w:r>
    </w:p>
    <w:p w14:paraId="6FFD9F9D" w14:textId="77777777" w:rsidR="006059A9" w:rsidRDefault="006059A9" w:rsidP="005400EF">
      <w:pPr>
        <w:jc w:val="both"/>
        <w:rPr>
          <w:b w:val="0"/>
          <w:szCs w:val="24"/>
        </w:rPr>
      </w:pPr>
    </w:p>
    <w:p w14:paraId="6FE13FBF" w14:textId="77777777" w:rsidR="00FE72E0" w:rsidRDefault="007A7D13" w:rsidP="00C742EF">
      <w:pPr>
        <w:ind w:right="95"/>
        <w:jc w:val="both"/>
        <w:rPr>
          <w:b w:val="0"/>
          <w:szCs w:val="24"/>
        </w:rPr>
      </w:pPr>
      <w:r>
        <w:rPr>
          <w:b w:val="0"/>
          <w:szCs w:val="24"/>
        </w:rPr>
        <w:t>[</w:t>
      </w:r>
      <w:r w:rsidR="002753AA">
        <w:rPr>
          <w:b w:val="0"/>
          <w:szCs w:val="24"/>
        </w:rPr>
        <w:t>5</w:t>
      </w:r>
      <w:r>
        <w:rPr>
          <w:b w:val="0"/>
          <w:szCs w:val="24"/>
        </w:rPr>
        <w:t>]</w:t>
      </w:r>
      <w:r>
        <w:rPr>
          <w:b w:val="0"/>
          <w:szCs w:val="24"/>
        </w:rPr>
        <w:tab/>
        <w:t xml:space="preserve">The applicants’ position was that, in the first and second cases, the Ombudsman should be ordered to attach to copies of her public statement a notice referring to the judgment in the relevant case and the key findings, namely (a) </w:t>
      </w:r>
      <w:r w:rsidR="00BF24A4">
        <w:rPr>
          <w:b w:val="0"/>
          <w:szCs w:val="24"/>
        </w:rPr>
        <w:t xml:space="preserve">that </w:t>
      </w:r>
      <w:r>
        <w:rPr>
          <w:b w:val="0"/>
          <w:szCs w:val="24"/>
        </w:rPr>
        <w:t xml:space="preserve">PONI does not have power to come to a determination that criminal or disciplinary offences have been committed and any findings in that regard are unlawful; (b) in particular, </w:t>
      </w:r>
      <w:r w:rsidR="00BF24A4">
        <w:rPr>
          <w:b w:val="0"/>
          <w:szCs w:val="24"/>
        </w:rPr>
        <w:t xml:space="preserve">that </w:t>
      </w:r>
      <w:r>
        <w:rPr>
          <w:b w:val="0"/>
          <w:szCs w:val="24"/>
        </w:rPr>
        <w:t>PONI does not have power to determine that police officers “colluded” with terrorists in the commission of crimes or were guilty of “collusive behaviour”; and (c) accordingly, that PONI acted unlawfully in determining that police officers had engaged in collusive behaviours at various points in the published statement as identified in the substantive judgment.  In the third case, a modified version of this relief was sought, focusing on misconduct</w:t>
      </w:r>
      <w:r w:rsidR="00BF24A4">
        <w:rPr>
          <w:b w:val="0"/>
          <w:szCs w:val="24"/>
        </w:rPr>
        <w:t xml:space="preserve"> alone</w:t>
      </w:r>
      <w:r>
        <w:rPr>
          <w:b w:val="0"/>
          <w:szCs w:val="24"/>
        </w:rPr>
        <w:t xml:space="preserve">.  In addition, the applicants proposed that there be a footnote inserted in relevant portions of the text </w:t>
      </w:r>
      <w:r w:rsidR="00BF24A4">
        <w:rPr>
          <w:b w:val="0"/>
          <w:szCs w:val="24"/>
        </w:rPr>
        <w:t xml:space="preserve">of the statements </w:t>
      </w:r>
      <w:r>
        <w:rPr>
          <w:b w:val="0"/>
          <w:szCs w:val="24"/>
        </w:rPr>
        <w:t xml:space="preserve">directing readers to the notice and indicating that the </w:t>
      </w:r>
      <w:r w:rsidR="00BF24A4">
        <w:rPr>
          <w:b w:val="0"/>
          <w:szCs w:val="24"/>
        </w:rPr>
        <w:t xml:space="preserve">relevant </w:t>
      </w:r>
      <w:r>
        <w:rPr>
          <w:b w:val="0"/>
          <w:szCs w:val="24"/>
        </w:rPr>
        <w:t>paragraph should be read as being subject to its contents.</w:t>
      </w:r>
    </w:p>
    <w:p w14:paraId="2F576A04" w14:textId="77777777" w:rsidR="007A7D13" w:rsidRDefault="007A7D13" w:rsidP="00C742EF">
      <w:pPr>
        <w:ind w:right="95"/>
        <w:jc w:val="both"/>
        <w:rPr>
          <w:b w:val="0"/>
          <w:szCs w:val="24"/>
        </w:rPr>
      </w:pPr>
    </w:p>
    <w:p w14:paraId="478AD705" w14:textId="77777777" w:rsidR="007A7D13" w:rsidRDefault="007A7D13" w:rsidP="00C742EF">
      <w:pPr>
        <w:ind w:right="95"/>
        <w:jc w:val="both"/>
        <w:rPr>
          <w:b w:val="0"/>
          <w:szCs w:val="24"/>
        </w:rPr>
      </w:pPr>
      <w:r>
        <w:rPr>
          <w:b w:val="0"/>
          <w:szCs w:val="24"/>
        </w:rPr>
        <w:lastRenderedPageBreak/>
        <w:t>[</w:t>
      </w:r>
      <w:r w:rsidR="002753AA">
        <w:rPr>
          <w:b w:val="0"/>
          <w:szCs w:val="24"/>
        </w:rPr>
        <w:t>6</w:t>
      </w:r>
      <w:r>
        <w:rPr>
          <w:b w:val="0"/>
          <w:szCs w:val="24"/>
        </w:rPr>
        <w:t>]</w:t>
      </w:r>
      <w:r>
        <w:rPr>
          <w:b w:val="0"/>
          <w:szCs w:val="24"/>
        </w:rPr>
        <w:tab/>
        <w:t xml:space="preserve">The respondent’s primary position was that the judgment of the court speaks for itself and “is a comprehensive analysis of where [the court] considered the Public Statements overstepped the mark and why”.  For that reason, it was submitted that the terms of the </w:t>
      </w:r>
      <w:r w:rsidR="00BF24A4">
        <w:rPr>
          <w:b w:val="0"/>
          <w:szCs w:val="24"/>
        </w:rPr>
        <w:t xml:space="preserve">substantive </w:t>
      </w:r>
      <w:r>
        <w:rPr>
          <w:b w:val="0"/>
          <w:szCs w:val="24"/>
        </w:rPr>
        <w:t>judgment itself constitute</w:t>
      </w:r>
      <w:r w:rsidR="00BF24A4">
        <w:rPr>
          <w:b w:val="0"/>
          <w:szCs w:val="24"/>
        </w:rPr>
        <w:t>d</w:t>
      </w:r>
      <w:r>
        <w:rPr>
          <w:b w:val="0"/>
          <w:szCs w:val="24"/>
        </w:rPr>
        <w:t xml:space="preserve"> sufficient relief in each case without the need for further order.  For the reasons set out by the Court of Appeal in </w:t>
      </w:r>
      <w:r>
        <w:rPr>
          <w:b w:val="0"/>
          <w:i/>
          <w:iCs/>
          <w:szCs w:val="24"/>
        </w:rPr>
        <w:t>Re Hawthorne and White’s Application</w:t>
      </w:r>
      <w:r>
        <w:rPr>
          <w:b w:val="0"/>
          <w:szCs w:val="24"/>
        </w:rPr>
        <w:t xml:space="preserve"> [2020] NICA 33, at para [64], the respondent submitted that the public statements should not be struck down.</w:t>
      </w:r>
    </w:p>
    <w:p w14:paraId="3467C42B" w14:textId="77777777" w:rsidR="007A7D13" w:rsidRDefault="007A7D13" w:rsidP="00C742EF">
      <w:pPr>
        <w:ind w:right="95"/>
        <w:jc w:val="both"/>
        <w:rPr>
          <w:b w:val="0"/>
          <w:szCs w:val="24"/>
        </w:rPr>
      </w:pPr>
    </w:p>
    <w:p w14:paraId="0BDD67F0" w14:textId="77777777" w:rsidR="007A7D13" w:rsidRDefault="007A7D13" w:rsidP="00C742EF">
      <w:pPr>
        <w:ind w:right="95"/>
        <w:jc w:val="both"/>
        <w:rPr>
          <w:b w:val="0"/>
          <w:szCs w:val="24"/>
        </w:rPr>
      </w:pPr>
      <w:r>
        <w:rPr>
          <w:b w:val="0"/>
          <w:szCs w:val="24"/>
        </w:rPr>
        <w:t>[</w:t>
      </w:r>
      <w:r w:rsidR="002753AA">
        <w:rPr>
          <w:b w:val="0"/>
          <w:szCs w:val="24"/>
        </w:rPr>
        <w:t>7</w:t>
      </w:r>
      <w:r>
        <w:rPr>
          <w:b w:val="0"/>
          <w:szCs w:val="24"/>
        </w:rPr>
        <w:t>]</w:t>
      </w:r>
      <w:r>
        <w:rPr>
          <w:b w:val="0"/>
          <w:szCs w:val="24"/>
        </w:rPr>
        <w:tab/>
        <w:t>However, as a fall-back position the respondent indicated that she was in principle prepared to agree a form of words and add this to any link to the public statements on the PONI website.  She further indicated that she did “not intend to shy away from the judgment” and would refer to it in forthcoming public statements</w:t>
      </w:r>
      <w:r w:rsidR="00D92201">
        <w:rPr>
          <w:b w:val="0"/>
          <w:szCs w:val="24"/>
        </w:rPr>
        <w:t>.  A form of words was proposed indicating that the relevant public statement must be read in the light of the court’s judgment (which was to be included in the report as an appendix) with an indication that the public statement should therefore “not be construed or understood to amount to, or include, any findings by the Police Ombudsman of any criminal or disciplinary offences by members of the police force”.</w:t>
      </w:r>
    </w:p>
    <w:p w14:paraId="47E90C26" w14:textId="77777777" w:rsidR="00FA5E5A" w:rsidRDefault="00FA5E5A" w:rsidP="00C742EF">
      <w:pPr>
        <w:ind w:right="95"/>
        <w:jc w:val="both"/>
        <w:rPr>
          <w:b w:val="0"/>
          <w:szCs w:val="24"/>
        </w:rPr>
      </w:pPr>
    </w:p>
    <w:p w14:paraId="5283DCDA" w14:textId="77777777" w:rsidR="00912F19" w:rsidRDefault="00912F19" w:rsidP="00C742EF">
      <w:pPr>
        <w:ind w:right="95"/>
        <w:jc w:val="both"/>
        <w:rPr>
          <w:b w:val="0"/>
          <w:szCs w:val="24"/>
        </w:rPr>
      </w:pPr>
      <w:r>
        <w:rPr>
          <w:b w:val="0"/>
          <w:szCs w:val="24"/>
        </w:rPr>
        <w:t>[</w:t>
      </w:r>
      <w:r w:rsidR="002753AA">
        <w:rPr>
          <w:b w:val="0"/>
          <w:szCs w:val="24"/>
        </w:rPr>
        <w:t>8</w:t>
      </w:r>
      <w:r>
        <w:rPr>
          <w:b w:val="0"/>
          <w:szCs w:val="24"/>
        </w:rPr>
        <w:t>]</w:t>
      </w:r>
      <w:r>
        <w:rPr>
          <w:b w:val="0"/>
          <w:szCs w:val="24"/>
        </w:rPr>
        <w:tab/>
        <w:t xml:space="preserve">Having considered the competing submissions, I consider that a strengthened form of notice than that proposed by the respondent should be included with the published reports in the first and second cases, much closer to the wording proposed by the applicants and giving some indication of the court’s core findings; but that the further suggestion advanced by the applicants, namely that there be additional insertions into the text of the published </w:t>
      </w:r>
      <w:r w:rsidR="002753AA">
        <w:rPr>
          <w:b w:val="0"/>
          <w:szCs w:val="24"/>
        </w:rPr>
        <w:t xml:space="preserve">statements </w:t>
      </w:r>
      <w:r>
        <w:rPr>
          <w:b w:val="0"/>
          <w:szCs w:val="24"/>
        </w:rPr>
        <w:t>themselves (by way of “footnote or similar device”) is unnecessary, provided that the relevant notice</w:t>
      </w:r>
      <w:r w:rsidR="002753AA">
        <w:rPr>
          <w:b w:val="0"/>
          <w:szCs w:val="24"/>
        </w:rPr>
        <w:t xml:space="preserve"> is clear to a reader</w:t>
      </w:r>
      <w:r w:rsidR="00BF24A4">
        <w:rPr>
          <w:b w:val="0"/>
          <w:szCs w:val="24"/>
        </w:rPr>
        <w:t xml:space="preserve"> of the statement,</w:t>
      </w:r>
      <w:r w:rsidR="002753AA">
        <w:rPr>
          <w:b w:val="0"/>
          <w:szCs w:val="24"/>
        </w:rPr>
        <w:t xml:space="preserve"> or intending reader seeking to access to </w:t>
      </w:r>
      <w:r w:rsidR="00BF24A4">
        <w:rPr>
          <w:b w:val="0"/>
          <w:szCs w:val="24"/>
        </w:rPr>
        <w:t xml:space="preserve">it, </w:t>
      </w:r>
      <w:r w:rsidR="002753AA">
        <w:rPr>
          <w:b w:val="0"/>
          <w:szCs w:val="24"/>
        </w:rPr>
        <w:t>and that the notice refers to the offending paragraphs in the statement.  The final order in the first and second cases will reflect this.</w:t>
      </w:r>
    </w:p>
    <w:p w14:paraId="27BC893D" w14:textId="77777777" w:rsidR="00912F19" w:rsidRDefault="00912F19" w:rsidP="00C742EF">
      <w:pPr>
        <w:ind w:right="95"/>
        <w:jc w:val="both"/>
        <w:rPr>
          <w:b w:val="0"/>
          <w:szCs w:val="24"/>
        </w:rPr>
      </w:pPr>
    </w:p>
    <w:p w14:paraId="06E9AE2C" w14:textId="77777777" w:rsidR="00FA5E5A" w:rsidRDefault="00FA5E5A" w:rsidP="00C742EF">
      <w:pPr>
        <w:ind w:right="95"/>
        <w:jc w:val="both"/>
        <w:rPr>
          <w:b w:val="0"/>
          <w:szCs w:val="24"/>
        </w:rPr>
      </w:pPr>
      <w:r>
        <w:rPr>
          <w:bCs/>
          <w:i/>
          <w:iCs/>
          <w:szCs w:val="24"/>
        </w:rPr>
        <w:t>The position in JR217’s case</w:t>
      </w:r>
    </w:p>
    <w:p w14:paraId="4DCB8CA0" w14:textId="77777777" w:rsidR="00FA5E5A" w:rsidRDefault="00FA5E5A" w:rsidP="00C742EF">
      <w:pPr>
        <w:ind w:right="95"/>
        <w:jc w:val="both"/>
        <w:rPr>
          <w:b w:val="0"/>
          <w:szCs w:val="24"/>
        </w:rPr>
      </w:pPr>
    </w:p>
    <w:p w14:paraId="14DEAA46" w14:textId="77777777" w:rsidR="00FA5E5A" w:rsidRDefault="006059A9" w:rsidP="00C742EF">
      <w:pPr>
        <w:ind w:right="95"/>
        <w:jc w:val="both"/>
        <w:rPr>
          <w:b w:val="0"/>
          <w:szCs w:val="24"/>
        </w:rPr>
      </w:pPr>
      <w:r>
        <w:rPr>
          <w:b w:val="0"/>
          <w:szCs w:val="24"/>
        </w:rPr>
        <w:t>[</w:t>
      </w:r>
      <w:r w:rsidR="002753AA">
        <w:rPr>
          <w:b w:val="0"/>
          <w:szCs w:val="24"/>
        </w:rPr>
        <w:t>9</w:t>
      </w:r>
      <w:r>
        <w:rPr>
          <w:b w:val="0"/>
          <w:szCs w:val="24"/>
        </w:rPr>
        <w:t>]</w:t>
      </w:r>
      <w:r>
        <w:rPr>
          <w:b w:val="0"/>
          <w:szCs w:val="24"/>
        </w:rPr>
        <w:tab/>
      </w:r>
      <w:r w:rsidR="00FA5E5A">
        <w:rPr>
          <w:b w:val="0"/>
          <w:szCs w:val="24"/>
        </w:rPr>
        <w:t xml:space="preserve">There is relatively little authority in relation to the replacement of an applicant in a judicial review by reason of the original applicant’s death.  Some assistance may be found in the decision of the Court of Appeal in </w:t>
      </w:r>
      <w:r w:rsidR="00FA5E5A">
        <w:rPr>
          <w:b w:val="0"/>
          <w:i/>
          <w:iCs/>
          <w:szCs w:val="24"/>
        </w:rPr>
        <w:t>Re Dalton and Another’s Application</w:t>
      </w:r>
      <w:r w:rsidR="00FA5E5A">
        <w:rPr>
          <w:b w:val="0"/>
          <w:szCs w:val="24"/>
        </w:rPr>
        <w:t xml:space="preserve"> [2020] NICA 27.  In that case, the applicant (Mrs Dalton) sought judicial review of a decision of the Attorney General for Northern Ireland not to direct a fresh inquest into the death of her father.  Deeny J dismissed the application at first instance.  An appeal was then brought but the original applicant then passed away.  Her sister, Rosaleen Dalton, then applied to be substituted as the applicant in the proceedings.</w:t>
      </w:r>
    </w:p>
    <w:p w14:paraId="3D36F23B" w14:textId="77777777" w:rsidR="00FA5E5A" w:rsidRDefault="00FA5E5A" w:rsidP="00C742EF">
      <w:pPr>
        <w:ind w:right="95"/>
        <w:jc w:val="both"/>
        <w:rPr>
          <w:b w:val="0"/>
          <w:szCs w:val="24"/>
        </w:rPr>
      </w:pPr>
    </w:p>
    <w:p w14:paraId="7FF7A11D" w14:textId="77777777" w:rsidR="00FA5E5A" w:rsidRDefault="006059A9" w:rsidP="00C742EF">
      <w:pPr>
        <w:ind w:right="95"/>
        <w:jc w:val="both"/>
        <w:rPr>
          <w:b w:val="0"/>
          <w:szCs w:val="24"/>
        </w:rPr>
      </w:pPr>
      <w:r>
        <w:rPr>
          <w:b w:val="0"/>
          <w:szCs w:val="24"/>
        </w:rPr>
        <w:t>[</w:t>
      </w:r>
      <w:r w:rsidR="002753AA">
        <w:rPr>
          <w:b w:val="0"/>
          <w:szCs w:val="24"/>
        </w:rPr>
        <w:t>10</w:t>
      </w:r>
      <w:r>
        <w:rPr>
          <w:b w:val="0"/>
          <w:szCs w:val="24"/>
        </w:rPr>
        <w:t>]</w:t>
      </w:r>
      <w:r>
        <w:rPr>
          <w:b w:val="0"/>
          <w:szCs w:val="24"/>
        </w:rPr>
        <w:tab/>
      </w:r>
      <w:r w:rsidR="00FA5E5A">
        <w:rPr>
          <w:b w:val="0"/>
          <w:szCs w:val="24"/>
        </w:rPr>
        <w:t>The applicant relied upon RCJ Order 15, rule 7.  Under the heading ‘Change of parties by reason of death, etc.’ it provides</w:t>
      </w:r>
      <w:r w:rsidR="00BF24A4">
        <w:rPr>
          <w:b w:val="0"/>
          <w:szCs w:val="24"/>
        </w:rPr>
        <w:t>, insofar as material,</w:t>
      </w:r>
      <w:r w:rsidR="00FA5E5A">
        <w:rPr>
          <w:b w:val="0"/>
          <w:szCs w:val="24"/>
        </w:rPr>
        <w:t xml:space="preserve"> as follows:</w:t>
      </w:r>
    </w:p>
    <w:p w14:paraId="59ECD403" w14:textId="77777777" w:rsidR="00FA5E5A" w:rsidRDefault="00FA5E5A" w:rsidP="00C742EF">
      <w:pPr>
        <w:ind w:right="95"/>
        <w:jc w:val="both"/>
        <w:rPr>
          <w:b w:val="0"/>
          <w:szCs w:val="24"/>
        </w:rPr>
      </w:pPr>
    </w:p>
    <w:p w14:paraId="6D8E684E" w14:textId="77777777" w:rsidR="00FA5E5A" w:rsidRDefault="00FA5E5A" w:rsidP="00FA5E5A">
      <w:pPr>
        <w:ind w:left="2127" w:right="1371" w:hanging="709"/>
        <w:jc w:val="both"/>
        <w:rPr>
          <w:b w:val="0"/>
          <w:bCs/>
          <w:szCs w:val="24"/>
        </w:rPr>
      </w:pPr>
      <w:r>
        <w:rPr>
          <w:b w:val="0"/>
          <w:bCs/>
          <w:szCs w:val="24"/>
        </w:rPr>
        <w:lastRenderedPageBreak/>
        <w:t>“</w:t>
      </w:r>
      <w:r w:rsidRPr="00FA5E5A">
        <w:rPr>
          <w:b w:val="0"/>
          <w:bCs/>
          <w:szCs w:val="24"/>
        </w:rPr>
        <w:t xml:space="preserve">(1) </w:t>
      </w:r>
      <w:r>
        <w:rPr>
          <w:b w:val="0"/>
          <w:bCs/>
          <w:szCs w:val="24"/>
        </w:rPr>
        <w:tab/>
      </w:r>
      <w:r w:rsidRPr="00FA5E5A">
        <w:rPr>
          <w:b w:val="0"/>
          <w:bCs/>
          <w:szCs w:val="24"/>
        </w:rPr>
        <w:t xml:space="preserve">Where a party to an action dies or becomes bankrupt but the cause of action survives, the action shall not abate by reason of the death or bankruptcy. </w:t>
      </w:r>
    </w:p>
    <w:p w14:paraId="0B4463C9" w14:textId="77777777" w:rsidR="00FA5E5A" w:rsidRDefault="00FA5E5A" w:rsidP="00FA5E5A">
      <w:pPr>
        <w:ind w:left="2127" w:right="1371" w:hanging="709"/>
        <w:jc w:val="both"/>
        <w:rPr>
          <w:b w:val="0"/>
          <w:bCs/>
          <w:szCs w:val="24"/>
        </w:rPr>
      </w:pPr>
    </w:p>
    <w:p w14:paraId="59B4DBC7" w14:textId="77777777" w:rsidR="00FA5E5A" w:rsidRDefault="00FA5E5A" w:rsidP="00BF24A4">
      <w:pPr>
        <w:ind w:left="2127" w:right="1371" w:hanging="709"/>
        <w:jc w:val="both"/>
        <w:rPr>
          <w:b w:val="0"/>
          <w:bCs/>
          <w:szCs w:val="24"/>
        </w:rPr>
      </w:pPr>
      <w:r w:rsidRPr="00FA5E5A">
        <w:rPr>
          <w:b w:val="0"/>
          <w:bCs/>
          <w:szCs w:val="24"/>
        </w:rPr>
        <w:t xml:space="preserve">(2) </w:t>
      </w:r>
      <w:r>
        <w:rPr>
          <w:b w:val="0"/>
          <w:bCs/>
          <w:szCs w:val="24"/>
        </w:rPr>
        <w:tab/>
      </w:r>
      <w:r w:rsidRPr="00FA5E5A">
        <w:rPr>
          <w:b w:val="0"/>
          <w:bCs/>
          <w:szCs w:val="24"/>
        </w:rPr>
        <w:t xml:space="preserve">Where at any stage of the proceedings in any cause or matter the interest or liability of any party is assigned or transmitted to or devolves upon some other person, the Court may, if it thinks it necessary in order to ensure that all matters in dispute in the cause may be effectually and completely determined and adjudicated upon, order that other person to be made a party to the cause or matter and the proceedings to be carried on as if he had been substituted for the first mentioned party. </w:t>
      </w:r>
      <w:r>
        <w:rPr>
          <w:b w:val="0"/>
          <w:bCs/>
          <w:szCs w:val="24"/>
        </w:rPr>
        <w:t xml:space="preserve"> </w:t>
      </w:r>
      <w:r w:rsidRPr="00FA5E5A">
        <w:rPr>
          <w:b w:val="0"/>
          <w:bCs/>
          <w:szCs w:val="24"/>
        </w:rPr>
        <w:t>An application for an order under this paragraph may be made ex parte.</w:t>
      </w:r>
      <w:r>
        <w:rPr>
          <w:b w:val="0"/>
          <w:bCs/>
          <w:szCs w:val="24"/>
        </w:rPr>
        <w:t>”</w:t>
      </w:r>
    </w:p>
    <w:p w14:paraId="0A603F42" w14:textId="77777777" w:rsidR="00FA5E5A" w:rsidRDefault="00FA5E5A" w:rsidP="00FA5E5A">
      <w:pPr>
        <w:ind w:left="2127" w:right="1371" w:hanging="709"/>
        <w:jc w:val="both"/>
        <w:rPr>
          <w:b w:val="0"/>
          <w:bCs/>
          <w:szCs w:val="24"/>
        </w:rPr>
      </w:pPr>
    </w:p>
    <w:p w14:paraId="296771EA" w14:textId="77777777" w:rsidR="00FA5E5A" w:rsidRDefault="006059A9" w:rsidP="00FA5E5A">
      <w:pPr>
        <w:ind w:right="-46"/>
        <w:jc w:val="both"/>
        <w:rPr>
          <w:b w:val="0"/>
          <w:bCs/>
          <w:szCs w:val="24"/>
        </w:rPr>
      </w:pPr>
      <w:r>
        <w:rPr>
          <w:b w:val="0"/>
          <w:bCs/>
          <w:szCs w:val="24"/>
        </w:rPr>
        <w:t>[</w:t>
      </w:r>
      <w:r w:rsidR="002753AA">
        <w:rPr>
          <w:b w:val="0"/>
          <w:bCs/>
          <w:szCs w:val="24"/>
        </w:rPr>
        <w:t>11</w:t>
      </w:r>
      <w:r>
        <w:rPr>
          <w:b w:val="0"/>
          <w:bCs/>
          <w:szCs w:val="24"/>
        </w:rPr>
        <w:t>]</w:t>
      </w:r>
      <w:r>
        <w:rPr>
          <w:b w:val="0"/>
          <w:bCs/>
          <w:szCs w:val="24"/>
        </w:rPr>
        <w:tab/>
      </w:r>
      <w:r w:rsidR="00FA5E5A">
        <w:rPr>
          <w:b w:val="0"/>
          <w:bCs/>
          <w:szCs w:val="24"/>
        </w:rPr>
        <w:t xml:space="preserve">In </w:t>
      </w:r>
      <w:r w:rsidR="00FA5E5A" w:rsidRPr="00FB13B8">
        <w:rPr>
          <w:b w:val="0"/>
          <w:bCs/>
          <w:i/>
          <w:iCs/>
          <w:szCs w:val="24"/>
        </w:rPr>
        <w:t>Dalton</w:t>
      </w:r>
      <w:r w:rsidR="00FA5E5A">
        <w:rPr>
          <w:b w:val="0"/>
          <w:bCs/>
          <w:szCs w:val="24"/>
        </w:rPr>
        <w:t xml:space="preserve"> the Court of Appeal did not finally determine whether reliance on the above provisions was possible.  Rather, it followed the approach adopted by Underhill J in </w:t>
      </w:r>
      <w:r w:rsidR="00FA5E5A">
        <w:rPr>
          <w:b w:val="0"/>
          <w:bCs/>
          <w:i/>
          <w:iCs/>
          <w:szCs w:val="24"/>
        </w:rPr>
        <w:t>R (River Thames Society) v First Secretary of State</w:t>
      </w:r>
      <w:r w:rsidR="00FA5E5A">
        <w:rPr>
          <w:b w:val="0"/>
          <w:bCs/>
          <w:szCs w:val="24"/>
        </w:rPr>
        <w:t xml:space="preserve"> [2006] EWHC 2829 (Admin).  In that case, a voluntary organisation decided that it no longer wished to pursue a judicial review of a planning matter.  The vice-chair of the organisation, however, wished to pursue the matter in her personal capacity.  The court determined that Rule 19.2 of the Civil Pro</w:t>
      </w:r>
      <w:r w:rsidR="0087226C">
        <w:rPr>
          <w:b w:val="0"/>
          <w:bCs/>
          <w:szCs w:val="24"/>
        </w:rPr>
        <w:t>cedure Rules (CPR) – the closest equivalent to RCJ Order 15, rule 7 – did not assist her.  However, the judge concluded that the court nonetheless had inherent jurisdiction to make the order sought.</w:t>
      </w:r>
    </w:p>
    <w:p w14:paraId="0089D48F" w14:textId="77777777" w:rsidR="00FB13B8" w:rsidRDefault="00FB13B8" w:rsidP="00FA5E5A">
      <w:pPr>
        <w:ind w:right="-46"/>
        <w:jc w:val="both"/>
        <w:rPr>
          <w:b w:val="0"/>
          <w:bCs/>
          <w:szCs w:val="24"/>
        </w:rPr>
      </w:pPr>
    </w:p>
    <w:p w14:paraId="42AC2E6B" w14:textId="77777777" w:rsidR="00FB13B8" w:rsidRDefault="006059A9" w:rsidP="00FA5E5A">
      <w:pPr>
        <w:ind w:right="-46"/>
        <w:jc w:val="both"/>
        <w:rPr>
          <w:b w:val="0"/>
          <w:bCs/>
          <w:szCs w:val="24"/>
        </w:rPr>
      </w:pPr>
      <w:r>
        <w:rPr>
          <w:b w:val="0"/>
          <w:bCs/>
          <w:szCs w:val="24"/>
        </w:rPr>
        <w:t>[</w:t>
      </w:r>
      <w:r w:rsidR="002753AA">
        <w:rPr>
          <w:b w:val="0"/>
          <w:bCs/>
          <w:szCs w:val="24"/>
        </w:rPr>
        <w:t>12</w:t>
      </w:r>
      <w:r>
        <w:rPr>
          <w:b w:val="0"/>
          <w:bCs/>
          <w:szCs w:val="24"/>
        </w:rPr>
        <w:t>]</w:t>
      </w:r>
      <w:r>
        <w:rPr>
          <w:b w:val="0"/>
          <w:bCs/>
          <w:szCs w:val="24"/>
        </w:rPr>
        <w:tab/>
      </w:r>
      <w:r w:rsidR="00FB13B8">
        <w:rPr>
          <w:b w:val="0"/>
          <w:bCs/>
          <w:szCs w:val="24"/>
        </w:rPr>
        <w:t xml:space="preserve">The central </w:t>
      </w:r>
      <w:r w:rsidR="003A4AB6">
        <w:rPr>
          <w:b w:val="0"/>
          <w:bCs/>
          <w:szCs w:val="24"/>
        </w:rPr>
        <w:t>question</w:t>
      </w:r>
      <w:r w:rsidR="00FB13B8">
        <w:rPr>
          <w:b w:val="0"/>
          <w:bCs/>
          <w:szCs w:val="24"/>
        </w:rPr>
        <w:t xml:space="preserve"> </w:t>
      </w:r>
      <w:r w:rsidR="003A4AB6">
        <w:rPr>
          <w:b w:val="0"/>
          <w:bCs/>
          <w:szCs w:val="24"/>
        </w:rPr>
        <w:t xml:space="preserve">on </w:t>
      </w:r>
      <w:r w:rsidR="00FB13B8">
        <w:rPr>
          <w:b w:val="0"/>
          <w:bCs/>
          <w:szCs w:val="24"/>
        </w:rPr>
        <w:t xml:space="preserve">this </w:t>
      </w:r>
      <w:r w:rsidR="003A4AB6">
        <w:rPr>
          <w:b w:val="0"/>
          <w:bCs/>
          <w:szCs w:val="24"/>
        </w:rPr>
        <w:t xml:space="preserve">issue </w:t>
      </w:r>
      <w:r w:rsidR="00FB13B8">
        <w:rPr>
          <w:b w:val="0"/>
          <w:bCs/>
          <w:szCs w:val="24"/>
        </w:rPr>
        <w:t xml:space="preserve">in the </w:t>
      </w:r>
      <w:r w:rsidR="00FB13B8" w:rsidRPr="003A4AB6">
        <w:rPr>
          <w:b w:val="0"/>
          <w:bCs/>
          <w:i/>
          <w:iCs/>
          <w:szCs w:val="24"/>
        </w:rPr>
        <w:t>Dalton</w:t>
      </w:r>
      <w:r w:rsidR="00FB13B8">
        <w:rPr>
          <w:b w:val="0"/>
          <w:bCs/>
          <w:szCs w:val="24"/>
        </w:rPr>
        <w:t xml:space="preserve"> case was as to the power of the Court of Appeal to substitute a party, not that of the High Court.</w:t>
      </w:r>
      <w:r w:rsidR="003A4AB6">
        <w:rPr>
          <w:b w:val="0"/>
          <w:bCs/>
          <w:szCs w:val="24"/>
        </w:rPr>
        <w:t xml:space="preserve">  Giving the judgment of the court, Maguire LJ said (at para [44]) that there was no dispute before the court that, in a judicial review application, the High Court had the authority to substitute a new applicant for an applicant who had died, since it (the High Court) possessed inherent jurisdiction.  As the Court of Appeal had all the powers of the original court, pursuant to section 38(1) of the Judicature (Northern Ireland) Act 1978</w:t>
      </w:r>
      <w:r w:rsidR="007746AC">
        <w:rPr>
          <w:b w:val="0"/>
          <w:bCs/>
          <w:szCs w:val="24"/>
        </w:rPr>
        <w:t xml:space="preserve"> (“the Judicature Act”)</w:t>
      </w:r>
      <w:r w:rsidR="003A4AB6">
        <w:rPr>
          <w:b w:val="0"/>
          <w:bCs/>
          <w:szCs w:val="24"/>
        </w:rPr>
        <w:t>, it was also considered to enjoy this power.</w:t>
      </w:r>
    </w:p>
    <w:p w14:paraId="627D88C0" w14:textId="77777777" w:rsidR="003A4AB6" w:rsidRDefault="003A4AB6" w:rsidP="00FA5E5A">
      <w:pPr>
        <w:ind w:right="-46"/>
        <w:jc w:val="both"/>
        <w:rPr>
          <w:b w:val="0"/>
          <w:bCs/>
          <w:szCs w:val="24"/>
        </w:rPr>
      </w:pPr>
    </w:p>
    <w:p w14:paraId="04F416CE" w14:textId="77777777" w:rsidR="003A4AB6" w:rsidRDefault="003A4AB6" w:rsidP="00FA5E5A">
      <w:pPr>
        <w:ind w:right="-46"/>
        <w:jc w:val="both"/>
        <w:rPr>
          <w:b w:val="0"/>
          <w:bCs/>
          <w:szCs w:val="24"/>
        </w:rPr>
      </w:pPr>
      <w:r>
        <w:rPr>
          <w:b w:val="0"/>
          <w:bCs/>
          <w:szCs w:val="24"/>
        </w:rPr>
        <w:t>[</w:t>
      </w:r>
      <w:r w:rsidR="002753AA">
        <w:rPr>
          <w:b w:val="0"/>
          <w:bCs/>
          <w:szCs w:val="24"/>
        </w:rPr>
        <w:t>13</w:t>
      </w:r>
      <w:r>
        <w:rPr>
          <w:b w:val="0"/>
          <w:bCs/>
          <w:szCs w:val="24"/>
        </w:rPr>
        <w:t>]</w:t>
      </w:r>
      <w:r>
        <w:rPr>
          <w:b w:val="0"/>
          <w:bCs/>
          <w:szCs w:val="24"/>
        </w:rPr>
        <w:tab/>
        <w:t xml:space="preserve">All parties proceeded – correctly, in my view – </w:t>
      </w:r>
      <w:r w:rsidR="007746AC">
        <w:rPr>
          <w:b w:val="0"/>
          <w:bCs/>
          <w:szCs w:val="24"/>
        </w:rPr>
        <w:t xml:space="preserve">on the basis </w:t>
      </w:r>
      <w:r>
        <w:rPr>
          <w:b w:val="0"/>
          <w:bCs/>
          <w:szCs w:val="24"/>
        </w:rPr>
        <w:t xml:space="preserve">that the court plainly had the power to substitute a new applicant in place of JR217, provided a suitable new applicant was found.  In </w:t>
      </w:r>
      <w:r w:rsidRPr="003A4AB6">
        <w:rPr>
          <w:b w:val="0"/>
          <w:bCs/>
          <w:i/>
          <w:iCs/>
          <w:szCs w:val="24"/>
        </w:rPr>
        <w:t>Dalton</w:t>
      </w:r>
      <w:r>
        <w:rPr>
          <w:b w:val="0"/>
          <w:bCs/>
          <w:szCs w:val="24"/>
        </w:rPr>
        <w:t>, the new applicant was the original applicant’s sister and enjoyed essentially the same interests.</w:t>
      </w:r>
    </w:p>
    <w:p w14:paraId="231B8347" w14:textId="77777777" w:rsidR="003A4AB6" w:rsidRDefault="003A4AB6" w:rsidP="00FA5E5A">
      <w:pPr>
        <w:ind w:right="-46"/>
        <w:jc w:val="both"/>
        <w:rPr>
          <w:b w:val="0"/>
          <w:bCs/>
          <w:szCs w:val="24"/>
        </w:rPr>
      </w:pPr>
    </w:p>
    <w:p w14:paraId="7187F53C" w14:textId="77777777" w:rsidR="003A4AB6" w:rsidRDefault="003A4AB6" w:rsidP="00FA5E5A">
      <w:pPr>
        <w:ind w:right="-46"/>
        <w:jc w:val="both"/>
        <w:rPr>
          <w:b w:val="0"/>
          <w:bCs/>
          <w:szCs w:val="24"/>
        </w:rPr>
      </w:pPr>
      <w:r>
        <w:rPr>
          <w:b w:val="0"/>
          <w:bCs/>
          <w:szCs w:val="24"/>
        </w:rPr>
        <w:t>[</w:t>
      </w:r>
      <w:r w:rsidR="002753AA">
        <w:rPr>
          <w:b w:val="0"/>
          <w:bCs/>
          <w:szCs w:val="24"/>
        </w:rPr>
        <w:t>14</w:t>
      </w:r>
      <w:r>
        <w:rPr>
          <w:b w:val="0"/>
          <w:bCs/>
          <w:szCs w:val="24"/>
        </w:rPr>
        <w:t>]</w:t>
      </w:r>
      <w:r>
        <w:rPr>
          <w:b w:val="0"/>
          <w:bCs/>
          <w:szCs w:val="24"/>
        </w:rPr>
        <w:tab/>
        <w:t xml:space="preserve">I was sympathetic in principle to the suggestion in JR217’s case that a new applicant, with sufficient interest, could be substituted.  This was particularly so given the long delay between the events forming the basis of the public statement (in 1979), the commencement of PONI’s investigation (in 2003), the conclusion of that </w:t>
      </w:r>
      <w:r>
        <w:rPr>
          <w:b w:val="0"/>
          <w:bCs/>
          <w:szCs w:val="24"/>
        </w:rPr>
        <w:lastRenderedPageBreak/>
        <w:t xml:space="preserve">investigation (in 2012) and the publication of the impugned public statement in 2022 (following JR127’s acquittal in the Crown Court in 2014).  In short, there was considerable delay which was not </w:t>
      </w:r>
      <w:r w:rsidR="007746AC">
        <w:rPr>
          <w:b w:val="0"/>
          <w:bCs/>
          <w:szCs w:val="24"/>
        </w:rPr>
        <w:t>the applicant’s</w:t>
      </w:r>
      <w:r>
        <w:rPr>
          <w:b w:val="0"/>
          <w:bCs/>
          <w:szCs w:val="24"/>
        </w:rPr>
        <w:t xml:space="preserve"> fault which had given rise to the situation which has now arisen.  I was also reminded of JR217’s decision not to press for interim relief and to permit PONI to publish her report (despite an initial indication that she would not do so on an interim basis) in order that one of the four complainants, who was gravely ill and expected to pass away shortly, might have the relief and benefit of the report before he did so.  In my view, that would be relevant to the exercise of any discretion in JR217’s favour, even posthumously.</w:t>
      </w:r>
    </w:p>
    <w:p w14:paraId="07D7F2B7" w14:textId="77777777" w:rsidR="006059A9" w:rsidRDefault="006059A9" w:rsidP="00FA5E5A">
      <w:pPr>
        <w:ind w:right="-46"/>
        <w:jc w:val="both"/>
        <w:rPr>
          <w:b w:val="0"/>
          <w:bCs/>
          <w:szCs w:val="24"/>
        </w:rPr>
      </w:pPr>
    </w:p>
    <w:p w14:paraId="028709F6" w14:textId="77777777" w:rsidR="006059A9" w:rsidRDefault="006059A9" w:rsidP="00FA5E5A">
      <w:pPr>
        <w:ind w:right="-46"/>
        <w:jc w:val="both"/>
        <w:rPr>
          <w:b w:val="0"/>
          <w:bCs/>
          <w:szCs w:val="24"/>
        </w:rPr>
      </w:pPr>
      <w:r>
        <w:rPr>
          <w:b w:val="0"/>
          <w:bCs/>
          <w:szCs w:val="24"/>
        </w:rPr>
        <w:t>[</w:t>
      </w:r>
      <w:r w:rsidR="002753AA">
        <w:rPr>
          <w:b w:val="0"/>
          <w:bCs/>
          <w:szCs w:val="24"/>
        </w:rPr>
        <w:t>15</w:t>
      </w:r>
      <w:r>
        <w:rPr>
          <w:b w:val="0"/>
          <w:bCs/>
          <w:szCs w:val="24"/>
        </w:rPr>
        <w:t>]</w:t>
      </w:r>
      <w:r>
        <w:rPr>
          <w:b w:val="0"/>
          <w:bCs/>
          <w:szCs w:val="24"/>
        </w:rPr>
        <w:tab/>
        <w:t>Initially, another family member was identified as a potential new applicant to be substituted in place of JR217 and the respondent did not object to this in principle, subject only to provision of an affidavit confirming their relationship to JR217 and their interest in the proceedings.</w:t>
      </w:r>
      <w:r w:rsidR="0057309B">
        <w:rPr>
          <w:b w:val="0"/>
          <w:bCs/>
          <w:szCs w:val="24"/>
        </w:rPr>
        <w:t xml:space="preserve">  In the event, that affidavit, and a formal application for substitution of the applicant, did not materialise.  Some additional time was granted to permit such an application to be made but, eventually, JR217’s solicitors confirmed that the individual who had been identified had indicated that he did not wish to take on a role in the application and that they knew of no other potential applicant.</w:t>
      </w:r>
    </w:p>
    <w:p w14:paraId="1195CDAE" w14:textId="77777777" w:rsidR="0057309B" w:rsidRDefault="0057309B" w:rsidP="00FA5E5A">
      <w:pPr>
        <w:ind w:right="-46"/>
        <w:jc w:val="both"/>
        <w:rPr>
          <w:b w:val="0"/>
          <w:bCs/>
          <w:szCs w:val="24"/>
        </w:rPr>
      </w:pPr>
    </w:p>
    <w:p w14:paraId="3B003F3D" w14:textId="77777777" w:rsidR="0057309B" w:rsidRDefault="0057309B" w:rsidP="00FA5E5A">
      <w:pPr>
        <w:ind w:right="-46"/>
        <w:jc w:val="both"/>
        <w:rPr>
          <w:b w:val="0"/>
          <w:szCs w:val="24"/>
        </w:rPr>
      </w:pPr>
      <w:r>
        <w:rPr>
          <w:b w:val="0"/>
          <w:bCs/>
          <w:szCs w:val="24"/>
        </w:rPr>
        <w:t>[</w:t>
      </w:r>
      <w:r w:rsidR="002753AA">
        <w:rPr>
          <w:b w:val="0"/>
          <w:bCs/>
          <w:szCs w:val="24"/>
        </w:rPr>
        <w:t>16</w:t>
      </w:r>
      <w:r>
        <w:rPr>
          <w:b w:val="0"/>
          <w:bCs/>
          <w:szCs w:val="24"/>
        </w:rPr>
        <w:t>]</w:t>
      </w:r>
      <w:r>
        <w:rPr>
          <w:b w:val="0"/>
          <w:bCs/>
          <w:szCs w:val="24"/>
        </w:rPr>
        <w:tab/>
        <w:t xml:space="preserve">I understand it to have been accepted or assumed as between the parties that a new applicant would be required to be substituted for any relief </w:t>
      </w:r>
      <w:r w:rsidR="007746AC">
        <w:rPr>
          <w:b w:val="0"/>
          <w:bCs/>
          <w:szCs w:val="24"/>
        </w:rPr>
        <w:t xml:space="preserve">to be granted </w:t>
      </w:r>
      <w:r>
        <w:rPr>
          <w:b w:val="0"/>
          <w:bCs/>
          <w:szCs w:val="24"/>
        </w:rPr>
        <w:t xml:space="preserve">going beyond the terms of the </w:t>
      </w:r>
      <w:r w:rsidR="007746AC">
        <w:rPr>
          <w:b w:val="0"/>
          <w:bCs/>
          <w:szCs w:val="24"/>
        </w:rPr>
        <w:t xml:space="preserve">substantive </w:t>
      </w:r>
      <w:r>
        <w:rPr>
          <w:b w:val="0"/>
          <w:bCs/>
          <w:szCs w:val="24"/>
        </w:rPr>
        <w:t>judgment itself.  I proceed on that basis, which appears to be correct in principle, albeit without having heard detailed argument on it.</w:t>
      </w:r>
      <w:r w:rsidR="003851B0">
        <w:rPr>
          <w:b w:val="0"/>
          <w:bCs/>
          <w:szCs w:val="24"/>
        </w:rPr>
        <w:t xml:space="preserve">  The issue of standing is not merely a threshold issue which ceases to be material once it has been initially satisfied; it may also bear on the question of remedy</w:t>
      </w:r>
      <w:r w:rsidR="00317FD5">
        <w:rPr>
          <w:b w:val="0"/>
          <w:bCs/>
          <w:szCs w:val="24"/>
        </w:rPr>
        <w:t xml:space="preserve"> (</w:t>
      </w:r>
      <w:r w:rsidR="003851B0">
        <w:rPr>
          <w:b w:val="0"/>
          <w:bCs/>
          <w:szCs w:val="24"/>
        </w:rPr>
        <w:t xml:space="preserve">see </w:t>
      </w:r>
      <w:r w:rsidR="003851B0" w:rsidRPr="003851B0">
        <w:rPr>
          <w:b w:val="0"/>
          <w:i/>
          <w:iCs/>
          <w:szCs w:val="24"/>
        </w:rPr>
        <w:t>Walton v Scottish Ministers</w:t>
      </w:r>
      <w:r w:rsidR="003851B0" w:rsidRPr="003851B0">
        <w:rPr>
          <w:bCs/>
          <w:szCs w:val="24"/>
        </w:rPr>
        <w:t xml:space="preserve"> </w:t>
      </w:r>
      <w:r w:rsidR="003851B0" w:rsidRPr="003851B0">
        <w:rPr>
          <w:b w:val="0"/>
          <w:szCs w:val="24"/>
        </w:rPr>
        <w:t>[2012] UKSC 44</w:t>
      </w:r>
      <w:r w:rsidR="003851B0">
        <w:rPr>
          <w:b w:val="0"/>
          <w:szCs w:val="24"/>
        </w:rPr>
        <w:t>, at para [95]</w:t>
      </w:r>
      <w:r w:rsidR="00317FD5">
        <w:rPr>
          <w:b w:val="0"/>
          <w:szCs w:val="24"/>
        </w:rPr>
        <w:t xml:space="preserve">; and see also, for example, the discussion in </w:t>
      </w:r>
      <w:r w:rsidR="00317FD5">
        <w:rPr>
          <w:b w:val="0"/>
          <w:i/>
          <w:iCs/>
          <w:szCs w:val="24"/>
        </w:rPr>
        <w:t xml:space="preserve">Re Duff’s Application </w:t>
      </w:r>
      <w:r w:rsidR="00317FD5">
        <w:rPr>
          <w:b w:val="0"/>
          <w:szCs w:val="24"/>
        </w:rPr>
        <w:t>[2024] NIKB 31, at paras [55]-[56]).</w:t>
      </w:r>
      <w:r w:rsidR="003851B0">
        <w:rPr>
          <w:b w:val="0"/>
          <w:szCs w:val="24"/>
        </w:rPr>
        <w:t xml:space="preserve">  </w:t>
      </w:r>
      <w:r w:rsidR="00B03498">
        <w:rPr>
          <w:b w:val="0"/>
          <w:szCs w:val="24"/>
        </w:rPr>
        <w:t xml:space="preserve">Moreover, section 18(4) of the Judicature Act provides that the court “shall not grant any relief on an application for judicial review unless it considers that the applicant has a sufficient interest in the matter to which the application relates”.  </w:t>
      </w:r>
      <w:r w:rsidR="003851B0">
        <w:rPr>
          <w:b w:val="0"/>
          <w:szCs w:val="24"/>
        </w:rPr>
        <w:t xml:space="preserve">None of the other police officers who were the subject of the Operation </w:t>
      </w:r>
      <w:r w:rsidR="00317FD5">
        <w:rPr>
          <w:b w:val="0"/>
          <w:szCs w:val="24"/>
        </w:rPr>
        <w:t>Farrier</w:t>
      </w:r>
      <w:r w:rsidR="003851B0">
        <w:rPr>
          <w:b w:val="0"/>
          <w:szCs w:val="24"/>
        </w:rPr>
        <w:t xml:space="preserve"> public statement have seen fit to bring judicial review proceedings or participate, either initially or at this late stage, in JR217’s application.</w:t>
      </w:r>
    </w:p>
    <w:p w14:paraId="1386EC64" w14:textId="77777777" w:rsidR="005741D2" w:rsidRDefault="005741D2" w:rsidP="00FA5E5A">
      <w:pPr>
        <w:ind w:right="-46"/>
        <w:jc w:val="both"/>
        <w:rPr>
          <w:b w:val="0"/>
          <w:szCs w:val="24"/>
        </w:rPr>
      </w:pPr>
    </w:p>
    <w:p w14:paraId="3A277B04" w14:textId="77777777" w:rsidR="003851B0" w:rsidRPr="005741D2" w:rsidRDefault="005741D2" w:rsidP="00FA5E5A">
      <w:pPr>
        <w:ind w:right="-46"/>
        <w:jc w:val="both"/>
        <w:rPr>
          <w:bCs/>
          <w:szCs w:val="24"/>
        </w:rPr>
      </w:pPr>
      <w:r>
        <w:rPr>
          <w:b w:val="0"/>
          <w:szCs w:val="24"/>
        </w:rPr>
        <w:t>[</w:t>
      </w:r>
      <w:r w:rsidR="002753AA">
        <w:rPr>
          <w:b w:val="0"/>
          <w:szCs w:val="24"/>
        </w:rPr>
        <w:t>17</w:t>
      </w:r>
      <w:r>
        <w:rPr>
          <w:b w:val="0"/>
          <w:szCs w:val="24"/>
        </w:rPr>
        <w:t>]</w:t>
      </w:r>
      <w:r>
        <w:rPr>
          <w:b w:val="0"/>
          <w:szCs w:val="24"/>
        </w:rPr>
        <w:tab/>
        <w:t xml:space="preserve">In view of the above, I propose to grant no further relief in the JR217 case.  The final order will </w:t>
      </w:r>
      <w:r w:rsidR="007746AC">
        <w:rPr>
          <w:b w:val="0"/>
          <w:szCs w:val="24"/>
        </w:rPr>
        <w:t xml:space="preserve">simply </w:t>
      </w:r>
      <w:r>
        <w:rPr>
          <w:b w:val="0"/>
          <w:szCs w:val="24"/>
        </w:rPr>
        <w:t>record that the application is allowed.  The reasons for that are set out in the substantive judgment.</w:t>
      </w:r>
    </w:p>
    <w:p w14:paraId="17A71542" w14:textId="77777777" w:rsidR="007A7D13" w:rsidRDefault="007A7D13" w:rsidP="00FA5E5A">
      <w:pPr>
        <w:ind w:right="-46"/>
        <w:jc w:val="both"/>
        <w:rPr>
          <w:b w:val="0"/>
          <w:bCs/>
          <w:szCs w:val="24"/>
        </w:rPr>
      </w:pPr>
    </w:p>
    <w:p w14:paraId="7FE73F6B" w14:textId="77777777" w:rsidR="007A7D13" w:rsidRDefault="007A7D13" w:rsidP="00FA5E5A">
      <w:pPr>
        <w:ind w:right="-46"/>
        <w:jc w:val="both"/>
        <w:rPr>
          <w:b w:val="0"/>
          <w:bCs/>
          <w:szCs w:val="24"/>
        </w:rPr>
      </w:pPr>
      <w:r>
        <w:rPr>
          <w:i/>
          <w:iCs/>
          <w:szCs w:val="24"/>
        </w:rPr>
        <w:t>Costs</w:t>
      </w:r>
    </w:p>
    <w:p w14:paraId="6578DFC9" w14:textId="77777777" w:rsidR="007A7D13" w:rsidRDefault="007A7D13" w:rsidP="00FA5E5A">
      <w:pPr>
        <w:ind w:right="-46"/>
        <w:jc w:val="both"/>
        <w:rPr>
          <w:b w:val="0"/>
          <w:bCs/>
          <w:szCs w:val="24"/>
        </w:rPr>
      </w:pPr>
    </w:p>
    <w:p w14:paraId="692DFBDB" w14:textId="77777777" w:rsidR="007A7D13" w:rsidRDefault="002753AA" w:rsidP="00FA5E5A">
      <w:pPr>
        <w:ind w:right="-46"/>
        <w:jc w:val="both"/>
        <w:rPr>
          <w:b w:val="0"/>
          <w:bCs/>
          <w:szCs w:val="24"/>
        </w:rPr>
      </w:pPr>
      <w:r>
        <w:rPr>
          <w:b w:val="0"/>
          <w:bCs/>
          <w:szCs w:val="24"/>
        </w:rPr>
        <w:t>[18</w:t>
      </w:r>
      <w:r w:rsidR="007A7D13">
        <w:rPr>
          <w:b w:val="0"/>
          <w:bCs/>
          <w:szCs w:val="24"/>
        </w:rPr>
        <w:t>]</w:t>
      </w:r>
      <w:r w:rsidR="007A7D13">
        <w:rPr>
          <w:b w:val="0"/>
          <w:bCs/>
          <w:szCs w:val="24"/>
        </w:rPr>
        <w:tab/>
        <w:t>In each case, the applicant</w:t>
      </w:r>
      <w:r w:rsidR="007746AC">
        <w:rPr>
          <w:b w:val="0"/>
          <w:bCs/>
          <w:szCs w:val="24"/>
        </w:rPr>
        <w:t xml:space="preserve"> or applicants</w:t>
      </w:r>
      <w:r w:rsidR="007A7D13">
        <w:rPr>
          <w:b w:val="0"/>
          <w:bCs/>
          <w:szCs w:val="24"/>
        </w:rPr>
        <w:t xml:space="preserve"> sought the</w:t>
      </w:r>
      <w:r w:rsidR="007746AC">
        <w:rPr>
          <w:b w:val="0"/>
          <w:bCs/>
          <w:szCs w:val="24"/>
        </w:rPr>
        <w:t>ir</w:t>
      </w:r>
      <w:r w:rsidR="007A7D13">
        <w:rPr>
          <w:b w:val="0"/>
          <w:bCs/>
          <w:szCs w:val="24"/>
        </w:rPr>
        <w:t xml:space="preserve"> costs of the proceedings against the respondent, such costs to be taxed in default of agreement.</w:t>
      </w:r>
    </w:p>
    <w:p w14:paraId="2423F899" w14:textId="77777777" w:rsidR="00D92201" w:rsidRDefault="00D92201" w:rsidP="00FA5E5A">
      <w:pPr>
        <w:ind w:right="-46"/>
        <w:jc w:val="both"/>
        <w:rPr>
          <w:b w:val="0"/>
          <w:bCs/>
          <w:szCs w:val="24"/>
        </w:rPr>
      </w:pPr>
    </w:p>
    <w:p w14:paraId="1304B89C" w14:textId="77777777" w:rsidR="00D92201" w:rsidRDefault="00D92201" w:rsidP="00FA5E5A">
      <w:pPr>
        <w:ind w:right="-46"/>
        <w:jc w:val="both"/>
        <w:rPr>
          <w:b w:val="0"/>
          <w:bCs/>
          <w:szCs w:val="24"/>
        </w:rPr>
      </w:pPr>
      <w:r>
        <w:rPr>
          <w:b w:val="0"/>
          <w:bCs/>
          <w:szCs w:val="24"/>
        </w:rPr>
        <w:t>[</w:t>
      </w:r>
      <w:r w:rsidR="002753AA">
        <w:rPr>
          <w:b w:val="0"/>
          <w:bCs/>
          <w:szCs w:val="24"/>
        </w:rPr>
        <w:t>19</w:t>
      </w:r>
      <w:r>
        <w:rPr>
          <w:b w:val="0"/>
          <w:bCs/>
          <w:szCs w:val="24"/>
        </w:rPr>
        <w:t>]</w:t>
      </w:r>
      <w:r>
        <w:rPr>
          <w:b w:val="0"/>
          <w:bCs/>
          <w:szCs w:val="24"/>
        </w:rPr>
        <w:tab/>
        <w:t xml:space="preserve">The respondent invited the court to make no order as to costs between the parties.  Alternatively, it was submitted that the court should apportion costs, </w:t>
      </w:r>
      <w:r>
        <w:rPr>
          <w:b w:val="0"/>
          <w:bCs/>
          <w:szCs w:val="24"/>
        </w:rPr>
        <w:lastRenderedPageBreak/>
        <w:t xml:space="preserve">indicating that this will be considered where a claim is successful in part and relying upon </w:t>
      </w:r>
      <w:r>
        <w:rPr>
          <w:b w:val="0"/>
          <w:bCs/>
          <w:i/>
          <w:iCs/>
          <w:szCs w:val="24"/>
        </w:rPr>
        <w:t>R (Commission of Police of the Metropolis) v Police Medical Appeal Board</w:t>
      </w:r>
      <w:r>
        <w:rPr>
          <w:b w:val="0"/>
          <w:bCs/>
          <w:szCs w:val="24"/>
        </w:rPr>
        <w:t xml:space="preserve"> [2020] EWHC 345 (Admin), at para [78].  In this jurisdiction, I indicated that this may be appropriate in a judicial review application in </w:t>
      </w:r>
      <w:r w:rsidR="005741D2">
        <w:rPr>
          <w:b w:val="0"/>
          <w:bCs/>
          <w:i/>
          <w:iCs/>
          <w:szCs w:val="24"/>
        </w:rPr>
        <w:t xml:space="preserve">Re Glass’s Application (Costs Ruling) </w:t>
      </w:r>
      <w:r w:rsidR="005741D2">
        <w:rPr>
          <w:b w:val="0"/>
          <w:bCs/>
          <w:szCs w:val="24"/>
        </w:rPr>
        <w:t>[2023] NIKB 22</w:t>
      </w:r>
      <w:r w:rsidR="007746AC">
        <w:rPr>
          <w:b w:val="0"/>
          <w:bCs/>
          <w:szCs w:val="24"/>
        </w:rPr>
        <w:t xml:space="preserve"> for reasons discussed in that judgment</w:t>
      </w:r>
      <w:r>
        <w:rPr>
          <w:b w:val="0"/>
          <w:bCs/>
          <w:szCs w:val="24"/>
        </w:rPr>
        <w:t>.</w:t>
      </w:r>
      <w:r w:rsidR="007746AC">
        <w:rPr>
          <w:b w:val="0"/>
          <w:bCs/>
          <w:szCs w:val="24"/>
        </w:rPr>
        <w:t xml:space="preserve">  In short, some judicial review applications are becoming increasingly costly and time-consuming, with a very wide range of matters pleaded, such that a ‘winner takes all’ approach to costs may be overly simplistic. </w:t>
      </w:r>
    </w:p>
    <w:p w14:paraId="372B06E6" w14:textId="77777777" w:rsidR="00D92201" w:rsidRDefault="00D92201" w:rsidP="00FA5E5A">
      <w:pPr>
        <w:ind w:right="-46"/>
        <w:jc w:val="both"/>
        <w:rPr>
          <w:b w:val="0"/>
          <w:bCs/>
          <w:szCs w:val="24"/>
        </w:rPr>
      </w:pPr>
    </w:p>
    <w:p w14:paraId="08B47150" w14:textId="77777777" w:rsidR="00D92201" w:rsidRDefault="00D92201" w:rsidP="00FA5E5A">
      <w:pPr>
        <w:ind w:right="-46"/>
        <w:jc w:val="both"/>
        <w:rPr>
          <w:b w:val="0"/>
          <w:bCs/>
          <w:szCs w:val="24"/>
        </w:rPr>
      </w:pPr>
      <w:r>
        <w:rPr>
          <w:b w:val="0"/>
          <w:bCs/>
          <w:szCs w:val="24"/>
        </w:rPr>
        <w:t>[</w:t>
      </w:r>
      <w:r w:rsidR="002753AA">
        <w:rPr>
          <w:b w:val="0"/>
          <w:bCs/>
          <w:szCs w:val="24"/>
        </w:rPr>
        <w:t>20</w:t>
      </w:r>
      <w:r>
        <w:rPr>
          <w:b w:val="0"/>
          <w:bCs/>
          <w:szCs w:val="24"/>
        </w:rPr>
        <w:t>]</w:t>
      </w:r>
      <w:r>
        <w:rPr>
          <w:b w:val="0"/>
          <w:bCs/>
          <w:szCs w:val="24"/>
        </w:rPr>
        <w:tab/>
        <w:t xml:space="preserve">In support </w:t>
      </w:r>
      <w:r w:rsidR="007746AC">
        <w:rPr>
          <w:b w:val="0"/>
          <w:bCs/>
          <w:szCs w:val="24"/>
        </w:rPr>
        <w:t>of</w:t>
      </w:r>
      <w:r>
        <w:rPr>
          <w:b w:val="0"/>
          <w:bCs/>
          <w:szCs w:val="24"/>
        </w:rPr>
        <w:t xml:space="preserve"> her opposition to a full costs order being made against her, the respondent relied upon a number of matters.  These included that: (a) she originally faced a significant number and range of </w:t>
      </w:r>
      <w:r w:rsidR="007746AC">
        <w:rPr>
          <w:b w:val="0"/>
          <w:bCs/>
          <w:szCs w:val="24"/>
        </w:rPr>
        <w:t xml:space="preserve">grounds of </w:t>
      </w:r>
      <w:r>
        <w:rPr>
          <w:b w:val="0"/>
          <w:bCs/>
          <w:szCs w:val="24"/>
        </w:rPr>
        <w:t xml:space="preserve">challenge (over 30 in number) but that leave was granted only on two grounds in the first case and one ground in the second; (b) in the first case, the applicant was successful only on limited grounds out of those on which leave was granted; (c) the costs of the failed application for leave by the Police Federation remain to be determined; (d) the dispute arose out of uncertainty over how the Court of Appeal’s judgment in </w:t>
      </w:r>
      <w:r>
        <w:rPr>
          <w:b w:val="0"/>
          <w:bCs/>
          <w:i/>
          <w:iCs/>
          <w:szCs w:val="24"/>
        </w:rPr>
        <w:t>Hawthorne and White</w:t>
      </w:r>
      <w:r>
        <w:rPr>
          <w:b w:val="0"/>
          <w:bCs/>
          <w:szCs w:val="24"/>
        </w:rPr>
        <w:t xml:space="preserve"> was to be applied</w:t>
      </w:r>
      <w:r w:rsidR="007746AC">
        <w:rPr>
          <w:b w:val="0"/>
          <w:bCs/>
          <w:szCs w:val="24"/>
        </w:rPr>
        <w:t>, which required to be addressed at some point</w:t>
      </w:r>
      <w:r>
        <w:rPr>
          <w:b w:val="0"/>
          <w:bCs/>
          <w:szCs w:val="24"/>
        </w:rPr>
        <w:t xml:space="preserve">; and (e) there was nothing to suggest that the narrow view of that judgment taken by the respondent had been adopted in bad faith.  In addition, the respondent relied upon the fact that, in </w:t>
      </w:r>
      <w:r>
        <w:rPr>
          <w:b w:val="0"/>
          <w:bCs/>
          <w:i/>
          <w:iCs/>
          <w:szCs w:val="24"/>
        </w:rPr>
        <w:t>Hawthorne and White</w:t>
      </w:r>
      <w:r>
        <w:rPr>
          <w:b w:val="0"/>
          <w:bCs/>
          <w:szCs w:val="24"/>
        </w:rPr>
        <w:t>, neither Keegan J nor the Court of Appeal awarded costs against the respondent.</w:t>
      </w:r>
    </w:p>
    <w:p w14:paraId="0D6BAFAE" w14:textId="77777777" w:rsidR="0018537F" w:rsidRDefault="0018537F" w:rsidP="00FA5E5A">
      <w:pPr>
        <w:ind w:right="-46"/>
        <w:jc w:val="both"/>
        <w:rPr>
          <w:b w:val="0"/>
          <w:bCs/>
          <w:szCs w:val="24"/>
        </w:rPr>
      </w:pPr>
    </w:p>
    <w:p w14:paraId="773F60BA" w14:textId="744FBA2F" w:rsidR="0018537F" w:rsidRPr="0018537F" w:rsidRDefault="0018537F" w:rsidP="00FA5E5A">
      <w:pPr>
        <w:ind w:right="-46"/>
        <w:jc w:val="both"/>
        <w:rPr>
          <w:b w:val="0"/>
          <w:bCs/>
          <w:szCs w:val="24"/>
        </w:rPr>
      </w:pPr>
      <w:r>
        <w:rPr>
          <w:b w:val="0"/>
          <w:bCs/>
          <w:szCs w:val="24"/>
        </w:rPr>
        <w:t>[</w:t>
      </w:r>
      <w:r w:rsidR="002753AA">
        <w:rPr>
          <w:b w:val="0"/>
          <w:bCs/>
          <w:szCs w:val="24"/>
        </w:rPr>
        <w:t>21</w:t>
      </w:r>
      <w:r>
        <w:rPr>
          <w:b w:val="0"/>
          <w:bCs/>
          <w:szCs w:val="24"/>
        </w:rPr>
        <w:t>]</w:t>
      </w:r>
      <w:r>
        <w:rPr>
          <w:b w:val="0"/>
          <w:bCs/>
          <w:szCs w:val="24"/>
        </w:rPr>
        <w:tab/>
        <w:t xml:space="preserve">It is not generally the practice of the Judicial Review Court in this jurisdiction to penalise an unsuccessful applicant for leave to apply for judicial review in costs.  The </w:t>
      </w:r>
      <w:r w:rsidR="007746AC">
        <w:rPr>
          <w:b w:val="0"/>
          <w:bCs/>
          <w:szCs w:val="24"/>
        </w:rPr>
        <w:t>leave stage</w:t>
      </w:r>
      <w:r w:rsidR="00C76704">
        <w:rPr>
          <w:b w:val="0"/>
          <w:bCs/>
          <w:szCs w:val="24"/>
        </w:rPr>
        <w:t>,</w:t>
      </w:r>
      <w:r>
        <w:rPr>
          <w:b w:val="0"/>
          <w:bCs/>
          <w:szCs w:val="24"/>
        </w:rPr>
        <w:t xml:space="preserve"> under the Rules of the Court of Judicature, </w:t>
      </w:r>
      <w:r w:rsidR="00CC58A0">
        <w:rPr>
          <w:b w:val="0"/>
          <w:bCs/>
          <w:szCs w:val="24"/>
        </w:rPr>
        <w:t xml:space="preserve">is </w:t>
      </w:r>
      <w:r w:rsidR="007746AC">
        <w:rPr>
          <w:b w:val="0"/>
          <w:bCs/>
          <w:szCs w:val="24"/>
        </w:rPr>
        <w:t xml:space="preserve">formally </w:t>
      </w:r>
      <w:r>
        <w:rPr>
          <w:b w:val="0"/>
          <w:bCs/>
          <w:i/>
          <w:iCs/>
          <w:szCs w:val="24"/>
        </w:rPr>
        <w:t>ex parte</w:t>
      </w:r>
      <w:r>
        <w:rPr>
          <w:b w:val="0"/>
          <w:bCs/>
          <w:szCs w:val="24"/>
        </w:rPr>
        <w:t xml:space="preserve">, with the proposed respondent usually appearing at the invitation of the court.  Nonetheless, there are cases where an award of costs against an unsuccessful applicant may be appropriate at that stage.  By the same token, there may be cases where a respondent who is ultimately unsuccessful in an application for judicial review should not be liable for the entirety of the applicant’s </w:t>
      </w:r>
      <w:r w:rsidR="002C0043">
        <w:rPr>
          <w:b w:val="0"/>
          <w:bCs/>
          <w:szCs w:val="24"/>
        </w:rPr>
        <w:t xml:space="preserve">costs </w:t>
      </w:r>
      <w:r w:rsidR="00C76704">
        <w:rPr>
          <w:b w:val="0"/>
          <w:bCs/>
          <w:szCs w:val="24"/>
        </w:rPr>
        <w:t xml:space="preserve">at both </w:t>
      </w:r>
      <w:r>
        <w:rPr>
          <w:b w:val="0"/>
          <w:bCs/>
          <w:szCs w:val="24"/>
        </w:rPr>
        <w:t xml:space="preserve">the leave </w:t>
      </w:r>
      <w:r w:rsidR="00C76704">
        <w:rPr>
          <w:b w:val="0"/>
          <w:bCs/>
          <w:szCs w:val="24"/>
        </w:rPr>
        <w:t xml:space="preserve">and </w:t>
      </w:r>
      <w:r>
        <w:rPr>
          <w:b w:val="0"/>
          <w:bCs/>
          <w:szCs w:val="24"/>
        </w:rPr>
        <w:t>substantive stages.  At the substantive stage, if a wide range of arguments have been pursued unsuccessfully by the applicant, justice may demand that this is reflected in the court’s ultimate costs order.  I</w:t>
      </w:r>
      <w:r w:rsidR="00C76704">
        <w:rPr>
          <w:b w:val="0"/>
          <w:bCs/>
          <w:szCs w:val="24"/>
        </w:rPr>
        <w:t xml:space="preserve">n addition, however, </w:t>
      </w:r>
      <w:r w:rsidR="002C0043">
        <w:rPr>
          <w:b w:val="0"/>
          <w:bCs/>
          <w:szCs w:val="24"/>
        </w:rPr>
        <w:t xml:space="preserve">even </w:t>
      </w:r>
      <w:r w:rsidR="00C76704">
        <w:rPr>
          <w:b w:val="0"/>
          <w:bCs/>
          <w:szCs w:val="24"/>
        </w:rPr>
        <w:t>i</w:t>
      </w:r>
      <w:r>
        <w:rPr>
          <w:b w:val="0"/>
          <w:bCs/>
          <w:szCs w:val="24"/>
        </w:rPr>
        <w:t xml:space="preserve">f an applicant succeeds on </w:t>
      </w:r>
      <w:r w:rsidR="002C0043">
        <w:rPr>
          <w:b w:val="0"/>
          <w:bCs/>
          <w:szCs w:val="24"/>
        </w:rPr>
        <w:t xml:space="preserve">the sole </w:t>
      </w:r>
      <w:r>
        <w:rPr>
          <w:b w:val="0"/>
          <w:bCs/>
          <w:szCs w:val="24"/>
        </w:rPr>
        <w:t xml:space="preserve">ground </w:t>
      </w:r>
      <w:r w:rsidR="002C0043">
        <w:rPr>
          <w:b w:val="0"/>
          <w:bCs/>
          <w:szCs w:val="24"/>
        </w:rPr>
        <w:t xml:space="preserve">on which leave was granted </w:t>
      </w:r>
      <w:r>
        <w:rPr>
          <w:b w:val="0"/>
          <w:bCs/>
          <w:szCs w:val="24"/>
        </w:rPr>
        <w:t>but unsuccessfully sought leave in relation to (say) nine other grounds, giving rise to a significant expenditure on the part of all parties at the leave stage, it may not be appropriate for the unsuccessful respondent to have to bear all of the applicant’s costs throughout the entirety of the proceedings.  Each case will turn on its own facts and the court’s wide discretion should be exercised in each case so as to deal with the matter of costs justly</w:t>
      </w:r>
      <w:r w:rsidR="002C0043">
        <w:rPr>
          <w:b w:val="0"/>
          <w:bCs/>
          <w:szCs w:val="24"/>
        </w:rPr>
        <w:t xml:space="preserve"> and proportionately</w:t>
      </w:r>
      <w:r>
        <w:rPr>
          <w:b w:val="0"/>
          <w:bCs/>
          <w:szCs w:val="24"/>
        </w:rPr>
        <w:t>.</w:t>
      </w:r>
    </w:p>
    <w:p w14:paraId="556EBA74" w14:textId="77777777" w:rsidR="0018537F" w:rsidRDefault="0018537F" w:rsidP="00FA5E5A">
      <w:pPr>
        <w:ind w:right="-46"/>
        <w:jc w:val="both"/>
        <w:rPr>
          <w:b w:val="0"/>
          <w:bCs/>
          <w:szCs w:val="24"/>
        </w:rPr>
      </w:pPr>
    </w:p>
    <w:p w14:paraId="13F3C9C9" w14:textId="77777777" w:rsidR="0018537F" w:rsidRDefault="0018537F" w:rsidP="00FA5E5A">
      <w:pPr>
        <w:ind w:right="-46"/>
        <w:jc w:val="both"/>
        <w:rPr>
          <w:b w:val="0"/>
          <w:bCs/>
          <w:szCs w:val="24"/>
        </w:rPr>
      </w:pPr>
      <w:r>
        <w:rPr>
          <w:b w:val="0"/>
          <w:bCs/>
          <w:szCs w:val="24"/>
        </w:rPr>
        <w:t>[</w:t>
      </w:r>
      <w:r w:rsidR="002753AA">
        <w:rPr>
          <w:b w:val="0"/>
          <w:bCs/>
          <w:szCs w:val="24"/>
        </w:rPr>
        <w:t>22</w:t>
      </w:r>
      <w:r>
        <w:rPr>
          <w:b w:val="0"/>
          <w:bCs/>
          <w:szCs w:val="24"/>
        </w:rPr>
        <w:t>]</w:t>
      </w:r>
      <w:r>
        <w:rPr>
          <w:b w:val="0"/>
          <w:bCs/>
          <w:szCs w:val="24"/>
        </w:rPr>
        <w:tab/>
        <w:t>In the first case, leave was granted essentially on four grounds: see para [86] of the substantive judgment.</w:t>
      </w:r>
      <w:r w:rsidR="00246728">
        <w:rPr>
          <w:b w:val="0"/>
          <w:bCs/>
          <w:szCs w:val="24"/>
        </w:rPr>
        <w:t xml:space="preserve">  The applicant succeeded on one of these grounds, although this was the key issue of principle in the case (and on another of the grounds, his case had some merit: see para [125] of the substantive judgment in </w:t>
      </w:r>
      <w:r w:rsidR="00246728">
        <w:rPr>
          <w:b w:val="0"/>
          <w:bCs/>
          <w:szCs w:val="24"/>
        </w:rPr>
        <w:lastRenderedPageBreak/>
        <w:t>particular).</w:t>
      </w:r>
      <w:r w:rsidR="001F4A2A">
        <w:rPr>
          <w:b w:val="0"/>
          <w:bCs/>
          <w:szCs w:val="24"/>
        </w:rPr>
        <w:t xml:space="preserve">  Two earlier proposed applicants were refused leave to apply for judicial review (see the leave ruling at [2022] NIKB 28)</w:t>
      </w:r>
      <w:r w:rsidR="00C76704">
        <w:rPr>
          <w:b w:val="0"/>
          <w:bCs/>
          <w:szCs w:val="24"/>
        </w:rPr>
        <w:t>, namely another officer (JR216) and the Police Federation for Northern Ireland</w:t>
      </w:r>
      <w:r w:rsidR="001F4A2A">
        <w:rPr>
          <w:b w:val="0"/>
          <w:bCs/>
          <w:szCs w:val="24"/>
        </w:rPr>
        <w:t>.  A range of grounds originally advanced were abandoned at the leave stage, which represented a sensible and pragmatic approach on behalf of the then applicants.  I take into account that, although the applicant was ultimately unsuccessful on several of the grounds on which he was granted leave, he successfully obtained leave on these issues in spite of opposition to that from the then proposed respondent</w:t>
      </w:r>
      <w:r w:rsidR="00922E5D">
        <w:rPr>
          <w:b w:val="0"/>
          <w:bCs/>
          <w:szCs w:val="24"/>
        </w:rPr>
        <w:t>, including opposition to the grant of leave in all cases on the basis of delay</w:t>
      </w:r>
      <w:r w:rsidR="001F4A2A">
        <w:rPr>
          <w:b w:val="0"/>
          <w:bCs/>
          <w:szCs w:val="24"/>
        </w:rPr>
        <w:t>.</w:t>
      </w:r>
    </w:p>
    <w:p w14:paraId="0A90EF1A" w14:textId="77777777" w:rsidR="00246728" w:rsidRDefault="00246728" w:rsidP="00FA5E5A">
      <w:pPr>
        <w:ind w:right="-46"/>
        <w:jc w:val="both"/>
        <w:rPr>
          <w:b w:val="0"/>
          <w:bCs/>
          <w:szCs w:val="24"/>
        </w:rPr>
      </w:pPr>
    </w:p>
    <w:p w14:paraId="75316C11" w14:textId="77777777" w:rsidR="00246728" w:rsidRDefault="00246728" w:rsidP="00FA5E5A">
      <w:pPr>
        <w:ind w:right="-46"/>
        <w:jc w:val="both"/>
        <w:rPr>
          <w:b w:val="0"/>
          <w:bCs/>
          <w:szCs w:val="24"/>
        </w:rPr>
      </w:pPr>
      <w:r>
        <w:rPr>
          <w:b w:val="0"/>
          <w:bCs/>
          <w:szCs w:val="24"/>
        </w:rPr>
        <w:t>[</w:t>
      </w:r>
      <w:r w:rsidR="002753AA">
        <w:rPr>
          <w:b w:val="0"/>
          <w:bCs/>
          <w:szCs w:val="24"/>
        </w:rPr>
        <w:t>23</w:t>
      </w:r>
      <w:r>
        <w:rPr>
          <w:b w:val="0"/>
          <w:bCs/>
          <w:szCs w:val="24"/>
        </w:rPr>
        <w:t>]</w:t>
      </w:r>
      <w:r>
        <w:rPr>
          <w:b w:val="0"/>
          <w:bCs/>
          <w:szCs w:val="24"/>
        </w:rPr>
        <w:tab/>
        <w:t>In the second case, leave was granted on one ground only and the applicant was successful on this ground (see paras [140] of the substantive judgment, and following).</w:t>
      </w:r>
      <w:r w:rsidR="00C76704">
        <w:rPr>
          <w:b w:val="0"/>
          <w:bCs/>
          <w:szCs w:val="24"/>
        </w:rPr>
        <w:t xml:space="preserve">  He was refused leave on a number of grounds; and one previous applicant in the second case was refused leave on standing grounds (see para [62] in the leave ruling).</w:t>
      </w:r>
    </w:p>
    <w:p w14:paraId="040BCE27" w14:textId="77777777" w:rsidR="00246728" w:rsidRDefault="00246728" w:rsidP="00FA5E5A">
      <w:pPr>
        <w:ind w:right="-46"/>
        <w:jc w:val="both"/>
        <w:rPr>
          <w:b w:val="0"/>
          <w:bCs/>
          <w:szCs w:val="24"/>
        </w:rPr>
      </w:pPr>
    </w:p>
    <w:p w14:paraId="53F058F3" w14:textId="77777777" w:rsidR="00246728" w:rsidRDefault="00246728" w:rsidP="00FA5E5A">
      <w:pPr>
        <w:ind w:right="-46"/>
        <w:jc w:val="both"/>
        <w:rPr>
          <w:b w:val="0"/>
          <w:bCs/>
          <w:szCs w:val="24"/>
        </w:rPr>
      </w:pPr>
      <w:r>
        <w:rPr>
          <w:b w:val="0"/>
          <w:bCs/>
          <w:szCs w:val="24"/>
        </w:rPr>
        <w:t>[</w:t>
      </w:r>
      <w:r w:rsidR="002753AA">
        <w:rPr>
          <w:b w:val="0"/>
          <w:bCs/>
          <w:szCs w:val="24"/>
        </w:rPr>
        <w:t>24</w:t>
      </w:r>
      <w:r>
        <w:rPr>
          <w:b w:val="0"/>
          <w:bCs/>
          <w:szCs w:val="24"/>
        </w:rPr>
        <w:t>]</w:t>
      </w:r>
      <w:r>
        <w:rPr>
          <w:b w:val="0"/>
          <w:bCs/>
          <w:szCs w:val="24"/>
        </w:rPr>
        <w:tab/>
        <w:t>In the third case, I granted leave to apply for judicial review on three grounds</w:t>
      </w:r>
      <w:r w:rsidR="001F4A2A">
        <w:rPr>
          <w:b w:val="0"/>
          <w:bCs/>
          <w:szCs w:val="24"/>
        </w:rPr>
        <w:t xml:space="preserve"> </w:t>
      </w:r>
      <w:r w:rsidR="00C76704">
        <w:rPr>
          <w:b w:val="0"/>
          <w:bCs/>
          <w:szCs w:val="24"/>
        </w:rPr>
        <w:t xml:space="preserve">(and refused leave on a further four) </w:t>
      </w:r>
      <w:r w:rsidR="001F4A2A">
        <w:rPr>
          <w:b w:val="0"/>
          <w:bCs/>
          <w:szCs w:val="24"/>
        </w:rPr>
        <w:t>and the applicant was successful on one of them, although again this may be considered the most substantial point of principle.</w:t>
      </w:r>
      <w:r w:rsidR="00C76704">
        <w:rPr>
          <w:b w:val="0"/>
          <w:bCs/>
          <w:szCs w:val="24"/>
        </w:rPr>
        <w:t xml:space="preserve">  There was no issue in relation to the standing of the sole applicant.</w:t>
      </w:r>
    </w:p>
    <w:p w14:paraId="4691579D" w14:textId="77777777" w:rsidR="001F4A2A" w:rsidRDefault="001F4A2A" w:rsidP="00FA5E5A">
      <w:pPr>
        <w:ind w:right="-46"/>
        <w:jc w:val="both"/>
        <w:rPr>
          <w:b w:val="0"/>
          <w:bCs/>
          <w:szCs w:val="24"/>
        </w:rPr>
      </w:pPr>
    </w:p>
    <w:p w14:paraId="50DB0D1B" w14:textId="77777777" w:rsidR="001F4A2A" w:rsidRDefault="001F4A2A" w:rsidP="00FA5E5A">
      <w:pPr>
        <w:ind w:right="-46"/>
        <w:jc w:val="both"/>
        <w:rPr>
          <w:b w:val="0"/>
          <w:bCs/>
          <w:szCs w:val="24"/>
        </w:rPr>
      </w:pPr>
      <w:r>
        <w:rPr>
          <w:b w:val="0"/>
          <w:bCs/>
          <w:szCs w:val="24"/>
        </w:rPr>
        <w:t>[</w:t>
      </w:r>
      <w:r w:rsidR="002753AA">
        <w:rPr>
          <w:b w:val="0"/>
          <w:bCs/>
          <w:szCs w:val="24"/>
        </w:rPr>
        <w:t>25</w:t>
      </w:r>
      <w:r>
        <w:rPr>
          <w:b w:val="0"/>
          <w:bCs/>
          <w:szCs w:val="24"/>
        </w:rPr>
        <w:t>]</w:t>
      </w:r>
      <w:r>
        <w:rPr>
          <w:b w:val="0"/>
          <w:bCs/>
          <w:szCs w:val="24"/>
        </w:rPr>
        <w:tab/>
        <w:t xml:space="preserve">I bear in mind that the hearing of these cases took a significant amount of court time.  They were not simply dealt with in one day (where it may be more appropriate to view costs in the round and not seek to apportion costs as between issues on which different parties succeeded).  I also take into account that the cases were </w:t>
      </w:r>
      <w:r w:rsidR="002C0043">
        <w:rPr>
          <w:b w:val="0"/>
          <w:bCs/>
          <w:szCs w:val="24"/>
        </w:rPr>
        <w:t xml:space="preserve">essentially </w:t>
      </w:r>
      <w:r>
        <w:rPr>
          <w:b w:val="0"/>
          <w:bCs/>
          <w:szCs w:val="24"/>
        </w:rPr>
        <w:t>dealt with together so that time and costs were thereby saved; and it is difficult to clearly define the court time and resources devoted to each case individually.</w:t>
      </w:r>
    </w:p>
    <w:p w14:paraId="7E92B44C" w14:textId="77777777" w:rsidR="001F4A2A" w:rsidRDefault="001F4A2A" w:rsidP="00FA5E5A">
      <w:pPr>
        <w:ind w:right="-46"/>
        <w:jc w:val="both"/>
        <w:rPr>
          <w:b w:val="0"/>
          <w:bCs/>
          <w:szCs w:val="24"/>
        </w:rPr>
      </w:pPr>
    </w:p>
    <w:p w14:paraId="5D1BD29A" w14:textId="77777777" w:rsidR="00D92201" w:rsidRDefault="001F4A2A" w:rsidP="00FA5E5A">
      <w:pPr>
        <w:ind w:right="-46"/>
        <w:jc w:val="both"/>
        <w:rPr>
          <w:b w:val="0"/>
          <w:bCs/>
          <w:szCs w:val="24"/>
        </w:rPr>
      </w:pPr>
      <w:r>
        <w:rPr>
          <w:b w:val="0"/>
          <w:bCs/>
          <w:szCs w:val="24"/>
        </w:rPr>
        <w:t>[</w:t>
      </w:r>
      <w:r w:rsidR="002753AA">
        <w:rPr>
          <w:b w:val="0"/>
          <w:bCs/>
          <w:szCs w:val="24"/>
        </w:rPr>
        <w:t>26</w:t>
      </w:r>
      <w:r>
        <w:rPr>
          <w:b w:val="0"/>
          <w:bCs/>
          <w:szCs w:val="24"/>
        </w:rPr>
        <w:t>]</w:t>
      </w:r>
      <w:r>
        <w:rPr>
          <w:b w:val="0"/>
          <w:bCs/>
          <w:szCs w:val="24"/>
        </w:rPr>
        <w:tab/>
        <w:t xml:space="preserve">Taking all of these matters into account, I consider that the applicants, having each been successful in their litigation, should recover some portion of their costs from the respondent.  </w:t>
      </w:r>
      <w:r w:rsidR="002C0043">
        <w:rPr>
          <w:b w:val="0"/>
          <w:bCs/>
          <w:szCs w:val="24"/>
        </w:rPr>
        <w:t xml:space="preserve">An order of ‘no order’ as to costs does not adequately reflect the principle that costs should follow the event and the applicants’ success in the proceedings.  </w:t>
      </w:r>
      <w:r>
        <w:rPr>
          <w:b w:val="0"/>
          <w:bCs/>
          <w:szCs w:val="24"/>
        </w:rPr>
        <w:t>However, in light of the fact that the applicants were unsuccessful in each case on a variety of issues at the leave stage</w:t>
      </w:r>
      <w:r w:rsidR="00912F19">
        <w:rPr>
          <w:b w:val="0"/>
          <w:bCs/>
          <w:szCs w:val="24"/>
        </w:rPr>
        <w:t>, including a number of applicants being refused leave on the basis of lack of standing,</w:t>
      </w:r>
      <w:r>
        <w:rPr>
          <w:b w:val="0"/>
          <w:bCs/>
          <w:szCs w:val="24"/>
        </w:rPr>
        <w:t xml:space="preserve"> and (in the first and third cases) on some issues on which they had been granted leave, I consider that the just and proportionate approach to costs in</w:t>
      </w:r>
      <w:r w:rsidR="00C76704">
        <w:rPr>
          <w:b w:val="0"/>
          <w:bCs/>
          <w:szCs w:val="24"/>
        </w:rPr>
        <w:t xml:space="preserve"> all of</w:t>
      </w:r>
      <w:r>
        <w:rPr>
          <w:b w:val="0"/>
          <w:bCs/>
          <w:szCs w:val="24"/>
        </w:rPr>
        <w:t xml:space="preserve"> these cases is that the applicants should recover half of their costs from the respondent</w:t>
      </w:r>
      <w:r w:rsidR="00B03498">
        <w:rPr>
          <w:b w:val="0"/>
          <w:bCs/>
          <w:szCs w:val="24"/>
        </w:rPr>
        <w:t xml:space="preserve"> up to the date of judgment</w:t>
      </w:r>
      <w:r w:rsidR="00C76704">
        <w:rPr>
          <w:b w:val="0"/>
          <w:bCs/>
          <w:szCs w:val="24"/>
        </w:rPr>
        <w:t>.  That reflects, across the range of cases, the fact that the applicants were successful on the main point but also that, at both leave and substantive stages, they pursued a range of points which were fully argued and took up court time and resources and upon which they were unsuccessful.</w:t>
      </w:r>
    </w:p>
    <w:p w14:paraId="0F6B35B1" w14:textId="77777777" w:rsidR="00B03498" w:rsidRDefault="00B03498" w:rsidP="00FA5E5A">
      <w:pPr>
        <w:ind w:right="-46"/>
        <w:jc w:val="both"/>
        <w:rPr>
          <w:b w:val="0"/>
          <w:bCs/>
          <w:szCs w:val="24"/>
        </w:rPr>
      </w:pPr>
    </w:p>
    <w:p w14:paraId="1EF76F51" w14:textId="77777777" w:rsidR="00B03498" w:rsidRDefault="00B03498" w:rsidP="00FA5E5A">
      <w:pPr>
        <w:ind w:right="-46"/>
        <w:jc w:val="both"/>
        <w:rPr>
          <w:b w:val="0"/>
          <w:bCs/>
          <w:szCs w:val="24"/>
        </w:rPr>
      </w:pPr>
      <w:r>
        <w:rPr>
          <w:b w:val="0"/>
          <w:bCs/>
          <w:szCs w:val="24"/>
        </w:rPr>
        <w:t>[27]</w:t>
      </w:r>
      <w:r>
        <w:rPr>
          <w:b w:val="0"/>
          <w:bCs/>
          <w:szCs w:val="24"/>
        </w:rPr>
        <w:tab/>
        <w:t xml:space="preserve">I reject the submission made on behalf of the respondent in JR217’s case that, as he is now deceased, he cannot be awarded any costs.  I see no reason why that </w:t>
      </w:r>
      <w:r>
        <w:rPr>
          <w:b w:val="0"/>
          <w:bCs/>
          <w:szCs w:val="24"/>
        </w:rPr>
        <w:lastRenderedPageBreak/>
        <w:t>should follow.  At the time of his death, all of the costs of the hearing of the application had arisen.  Assuming they had not been discharged</w:t>
      </w:r>
      <w:r w:rsidR="002C0043">
        <w:rPr>
          <w:b w:val="0"/>
          <w:bCs/>
          <w:szCs w:val="24"/>
        </w:rPr>
        <w:t xml:space="preserve"> at that point</w:t>
      </w:r>
      <w:r>
        <w:rPr>
          <w:b w:val="0"/>
          <w:bCs/>
          <w:szCs w:val="24"/>
        </w:rPr>
        <w:t>, they would remain a debt liable to be discharged by his estate.</w:t>
      </w:r>
    </w:p>
    <w:p w14:paraId="157629C1" w14:textId="77777777" w:rsidR="00B03498" w:rsidRDefault="00B03498" w:rsidP="00FA5E5A">
      <w:pPr>
        <w:ind w:right="-46"/>
        <w:jc w:val="both"/>
        <w:rPr>
          <w:b w:val="0"/>
          <w:bCs/>
          <w:szCs w:val="24"/>
        </w:rPr>
      </w:pPr>
    </w:p>
    <w:p w14:paraId="712C94D9" w14:textId="77777777" w:rsidR="00B03498" w:rsidRDefault="00B03498" w:rsidP="00FA5E5A">
      <w:pPr>
        <w:ind w:right="-46"/>
        <w:jc w:val="both"/>
        <w:rPr>
          <w:b w:val="0"/>
          <w:bCs/>
          <w:szCs w:val="24"/>
        </w:rPr>
      </w:pPr>
      <w:r>
        <w:rPr>
          <w:b w:val="0"/>
          <w:bCs/>
          <w:szCs w:val="24"/>
        </w:rPr>
        <w:t>[28]</w:t>
      </w:r>
      <w:r>
        <w:rPr>
          <w:b w:val="0"/>
          <w:bCs/>
          <w:szCs w:val="24"/>
        </w:rPr>
        <w:tab/>
        <w:t>As from the date of judgment – that is, concerning the costs of the argument about relief and costs – I will make no order as to costs between the parties.  Neither side has been wholly successful on either of those issues.</w:t>
      </w:r>
    </w:p>
    <w:p w14:paraId="56572A76" w14:textId="77777777" w:rsidR="00D92201" w:rsidRDefault="00D92201" w:rsidP="00FA5E5A">
      <w:pPr>
        <w:ind w:right="-46"/>
        <w:jc w:val="both"/>
        <w:rPr>
          <w:b w:val="0"/>
          <w:bCs/>
          <w:szCs w:val="24"/>
        </w:rPr>
      </w:pPr>
    </w:p>
    <w:p w14:paraId="6904E4C7" w14:textId="77777777" w:rsidR="00D92201" w:rsidRDefault="002753AA" w:rsidP="00FA5E5A">
      <w:pPr>
        <w:ind w:right="-46"/>
        <w:jc w:val="both"/>
        <w:rPr>
          <w:b w:val="0"/>
          <w:bCs/>
          <w:szCs w:val="24"/>
        </w:rPr>
      </w:pPr>
      <w:r>
        <w:rPr>
          <w:i/>
          <w:iCs/>
          <w:szCs w:val="24"/>
        </w:rPr>
        <w:t>Time for appeal</w:t>
      </w:r>
    </w:p>
    <w:p w14:paraId="7BC9A66B" w14:textId="77777777" w:rsidR="00D92201" w:rsidRDefault="00D92201" w:rsidP="00FA5E5A">
      <w:pPr>
        <w:ind w:right="-46"/>
        <w:jc w:val="both"/>
        <w:rPr>
          <w:b w:val="0"/>
          <w:bCs/>
          <w:szCs w:val="24"/>
        </w:rPr>
      </w:pPr>
    </w:p>
    <w:p w14:paraId="020247F1" w14:textId="77777777" w:rsidR="00D92201" w:rsidRPr="00D92201" w:rsidRDefault="00D92201" w:rsidP="00FA5E5A">
      <w:pPr>
        <w:ind w:right="-46"/>
        <w:jc w:val="both"/>
        <w:rPr>
          <w:b w:val="0"/>
          <w:bCs/>
          <w:szCs w:val="24"/>
        </w:rPr>
      </w:pPr>
      <w:r>
        <w:rPr>
          <w:b w:val="0"/>
          <w:bCs/>
          <w:szCs w:val="24"/>
        </w:rPr>
        <w:t>[</w:t>
      </w:r>
      <w:r w:rsidR="002753AA">
        <w:rPr>
          <w:b w:val="0"/>
          <w:bCs/>
          <w:szCs w:val="24"/>
        </w:rPr>
        <w:t>2</w:t>
      </w:r>
      <w:r w:rsidR="00B03498">
        <w:rPr>
          <w:b w:val="0"/>
          <w:bCs/>
          <w:szCs w:val="24"/>
        </w:rPr>
        <w:t>9</w:t>
      </w:r>
      <w:r>
        <w:rPr>
          <w:b w:val="0"/>
          <w:bCs/>
          <w:szCs w:val="24"/>
        </w:rPr>
        <w:t>]</w:t>
      </w:r>
      <w:r>
        <w:rPr>
          <w:b w:val="0"/>
          <w:bCs/>
          <w:szCs w:val="24"/>
        </w:rPr>
        <w:tab/>
        <w:t>The respondent previously indicated an intention to appeal because of the importance of the issues to her work.</w:t>
      </w:r>
      <w:r w:rsidR="005741D2">
        <w:rPr>
          <w:b w:val="0"/>
          <w:bCs/>
          <w:szCs w:val="24"/>
        </w:rPr>
        <w:t xml:space="preserve">  In turn, I indicated that I would extend time for appeal in the final order made in each case.  I propose to allow six weeks for service of a notice of appeal in each case from the date of filing of the final order reflecting the ruling given above.</w:t>
      </w:r>
    </w:p>
    <w:sectPr w:rsidR="00D92201" w:rsidRPr="00D9220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8D0DD" w14:textId="77777777" w:rsidR="00473891" w:rsidRDefault="00473891" w:rsidP="00934365">
      <w:r>
        <w:separator/>
      </w:r>
    </w:p>
  </w:endnote>
  <w:endnote w:type="continuationSeparator" w:id="0">
    <w:p w14:paraId="039E7F9C" w14:textId="77777777" w:rsidR="00473891" w:rsidRDefault="00473891" w:rsidP="00934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D8C6" w14:textId="77777777" w:rsidR="00E84503" w:rsidRDefault="00E84503">
    <w:pPr>
      <w:pStyle w:val="Footer"/>
    </w:pPr>
  </w:p>
  <w:p w14:paraId="730BF466" w14:textId="77777777" w:rsidR="00E84503" w:rsidRPr="00767A0B" w:rsidRDefault="00E84503" w:rsidP="00934365">
    <w:pPr>
      <w:pStyle w:val="Footer"/>
      <w:jc w:val="center"/>
      <w:rPr>
        <w:sz w:val="18"/>
      </w:rPr>
    </w:pPr>
    <w:r w:rsidRPr="00767A0B">
      <w:rPr>
        <w:sz w:val="18"/>
      </w:rPr>
      <w:fldChar w:fldCharType="begin"/>
    </w:r>
    <w:r w:rsidRPr="00767A0B">
      <w:rPr>
        <w:sz w:val="18"/>
      </w:rPr>
      <w:instrText xml:space="preserve"> PAGE   \* MERGEFORMAT </w:instrText>
    </w:r>
    <w:r w:rsidRPr="00767A0B">
      <w:rPr>
        <w:sz w:val="18"/>
      </w:rPr>
      <w:fldChar w:fldCharType="separate"/>
    </w:r>
    <w:r w:rsidR="00522B77">
      <w:rPr>
        <w:noProof/>
        <w:sz w:val="18"/>
      </w:rPr>
      <w:t>21</w:t>
    </w:r>
    <w:r w:rsidRPr="00767A0B">
      <w:rPr>
        <w:noProof/>
        <w:sz w:val="18"/>
      </w:rPr>
      <w:fldChar w:fldCharType="end"/>
    </w:r>
  </w:p>
  <w:p w14:paraId="2CABF068" w14:textId="77777777" w:rsidR="00E84503" w:rsidRDefault="00E84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AA264" w14:textId="77777777" w:rsidR="00473891" w:rsidRDefault="00473891" w:rsidP="00934365">
      <w:r>
        <w:separator/>
      </w:r>
    </w:p>
  </w:footnote>
  <w:footnote w:type="continuationSeparator" w:id="0">
    <w:p w14:paraId="2986557E" w14:textId="77777777" w:rsidR="00473891" w:rsidRDefault="00473891" w:rsidP="00934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7B90" w14:textId="77777777" w:rsidR="00E84503" w:rsidRDefault="00E845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D340E6C"/>
    <w:name w:val="WW8Num1"/>
    <w:lvl w:ilvl="0">
      <w:start w:val="1"/>
      <w:numFmt w:val="decimal"/>
      <w:lvlText w:val="%1."/>
      <w:lvlJc w:val="left"/>
      <w:pPr>
        <w:tabs>
          <w:tab w:val="num" w:pos="720"/>
        </w:tabs>
        <w:ind w:left="720" w:hanging="360"/>
      </w:pPr>
      <w:rPr>
        <w:lang w:val="en-GB" w:eastAsia="en-US"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Book Antiqua" w:hAnsi="Book Antiqua" w:cs="Book Antiqua"/>
        <w:b w:val="0"/>
        <w:bCs w:val="0"/>
        <w:i/>
        <w:iCs/>
        <w:sz w:val="22"/>
        <w:szCs w:val="22"/>
        <w:lang w:val="en-GB"/>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A02186"/>
    <w:multiLevelType w:val="hybridMultilevel"/>
    <w:tmpl w:val="2BE42FBE"/>
    <w:lvl w:ilvl="0" w:tplc="79A086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C15848"/>
    <w:multiLevelType w:val="hybridMultilevel"/>
    <w:tmpl w:val="6BCAB19C"/>
    <w:lvl w:ilvl="0" w:tplc="61C091BC">
      <w:start w:val="1"/>
      <w:numFmt w:val="lowerLetter"/>
      <w:lvlText w:val="(%1)"/>
      <w:lvlJc w:val="left"/>
      <w:pPr>
        <w:ind w:left="2836" w:hanging="710"/>
      </w:pPr>
      <w:rPr>
        <w:rFonts w:hint="default"/>
      </w:rPr>
    </w:lvl>
    <w:lvl w:ilvl="1" w:tplc="08090019" w:tentative="1">
      <w:start w:val="1"/>
      <w:numFmt w:val="lowerLetter"/>
      <w:lvlText w:val="%2."/>
      <w:lvlJc w:val="left"/>
      <w:pPr>
        <w:ind w:left="3206" w:hanging="360"/>
      </w:pPr>
    </w:lvl>
    <w:lvl w:ilvl="2" w:tplc="0809001B" w:tentative="1">
      <w:start w:val="1"/>
      <w:numFmt w:val="lowerRoman"/>
      <w:lvlText w:val="%3."/>
      <w:lvlJc w:val="right"/>
      <w:pPr>
        <w:ind w:left="3926" w:hanging="180"/>
      </w:pPr>
    </w:lvl>
    <w:lvl w:ilvl="3" w:tplc="0809000F" w:tentative="1">
      <w:start w:val="1"/>
      <w:numFmt w:val="decimal"/>
      <w:lvlText w:val="%4."/>
      <w:lvlJc w:val="left"/>
      <w:pPr>
        <w:ind w:left="4646" w:hanging="360"/>
      </w:pPr>
    </w:lvl>
    <w:lvl w:ilvl="4" w:tplc="08090019" w:tentative="1">
      <w:start w:val="1"/>
      <w:numFmt w:val="lowerLetter"/>
      <w:lvlText w:val="%5."/>
      <w:lvlJc w:val="left"/>
      <w:pPr>
        <w:ind w:left="5366" w:hanging="360"/>
      </w:pPr>
    </w:lvl>
    <w:lvl w:ilvl="5" w:tplc="0809001B" w:tentative="1">
      <w:start w:val="1"/>
      <w:numFmt w:val="lowerRoman"/>
      <w:lvlText w:val="%6."/>
      <w:lvlJc w:val="right"/>
      <w:pPr>
        <w:ind w:left="6086" w:hanging="180"/>
      </w:pPr>
    </w:lvl>
    <w:lvl w:ilvl="6" w:tplc="0809000F" w:tentative="1">
      <w:start w:val="1"/>
      <w:numFmt w:val="decimal"/>
      <w:lvlText w:val="%7."/>
      <w:lvlJc w:val="left"/>
      <w:pPr>
        <w:ind w:left="6806" w:hanging="360"/>
      </w:pPr>
    </w:lvl>
    <w:lvl w:ilvl="7" w:tplc="08090019" w:tentative="1">
      <w:start w:val="1"/>
      <w:numFmt w:val="lowerLetter"/>
      <w:lvlText w:val="%8."/>
      <w:lvlJc w:val="left"/>
      <w:pPr>
        <w:ind w:left="7526" w:hanging="360"/>
      </w:pPr>
    </w:lvl>
    <w:lvl w:ilvl="8" w:tplc="0809001B" w:tentative="1">
      <w:start w:val="1"/>
      <w:numFmt w:val="lowerRoman"/>
      <w:lvlText w:val="%9."/>
      <w:lvlJc w:val="right"/>
      <w:pPr>
        <w:ind w:left="8246" w:hanging="180"/>
      </w:pPr>
    </w:lvl>
  </w:abstractNum>
  <w:abstractNum w:abstractNumId="3" w15:restartNumberingAfterBreak="0">
    <w:nsid w:val="036E4193"/>
    <w:multiLevelType w:val="hybridMultilevel"/>
    <w:tmpl w:val="C57C9E5E"/>
    <w:lvl w:ilvl="0" w:tplc="21C4DD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D31CAE"/>
    <w:multiLevelType w:val="hybridMultilevel"/>
    <w:tmpl w:val="BF7A3714"/>
    <w:lvl w:ilvl="0" w:tplc="72045BF4">
      <w:start w:val="1"/>
      <w:numFmt w:val="lowerLetter"/>
      <w:lvlText w:val="(%1)"/>
      <w:lvlJc w:val="left"/>
      <w:pPr>
        <w:ind w:left="720" w:hanging="360"/>
      </w:pPr>
      <w:rPr>
        <w:rFonts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4033A2"/>
    <w:multiLevelType w:val="hybridMultilevel"/>
    <w:tmpl w:val="DC565774"/>
    <w:lvl w:ilvl="0" w:tplc="A274DBCC">
      <w:start w:val="2"/>
      <w:numFmt w:val="decimal"/>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6" w15:restartNumberingAfterBreak="0">
    <w:nsid w:val="12C9636B"/>
    <w:multiLevelType w:val="hybridMultilevel"/>
    <w:tmpl w:val="D4D44B7C"/>
    <w:lvl w:ilvl="0" w:tplc="3F3E99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C6575A"/>
    <w:multiLevelType w:val="hybridMultilevel"/>
    <w:tmpl w:val="1A22CAF6"/>
    <w:lvl w:ilvl="0" w:tplc="5F9A08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2835E3"/>
    <w:multiLevelType w:val="hybridMultilevel"/>
    <w:tmpl w:val="6FC8DEB2"/>
    <w:lvl w:ilvl="0" w:tplc="141CD8D2">
      <w:start w:val="1"/>
      <w:numFmt w:val="upp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9" w15:restartNumberingAfterBreak="0">
    <w:nsid w:val="457D2107"/>
    <w:multiLevelType w:val="hybridMultilevel"/>
    <w:tmpl w:val="75B04644"/>
    <w:lvl w:ilvl="0" w:tplc="56B02AE2">
      <w:start w:val="1"/>
      <w:numFmt w:val="lowerLetter"/>
      <w:lvlText w:val="(%1)"/>
      <w:lvlJc w:val="left"/>
      <w:pPr>
        <w:ind w:left="2128" w:hanging="71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0" w15:restartNumberingAfterBreak="0">
    <w:nsid w:val="4B610E12"/>
    <w:multiLevelType w:val="hybridMultilevel"/>
    <w:tmpl w:val="CCA46D0E"/>
    <w:lvl w:ilvl="0" w:tplc="4D2608E0">
      <w:start w:val="1"/>
      <w:numFmt w:val="upp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1" w15:restartNumberingAfterBreak="0">
    <w:nsid w:val="50E76448"/>
    <w:multiLevelType w:val="hybridMultilevel"/>
    <w:tmpl w:val="E934FEB2"/>
    <w:lvl w:ilvl="0" w:tplc="E138B6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115689"/>
    <w:multiLevelType w:val="hybridMultilevel"/>
    <w:tmpl w:val="5FB2CB98"/>
    <w:lvl w:ilvl="0" w:tplc="271A6BB4">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6D7E4AE3"/>
    <w:multiLevelType w:val="hybridMultilevel"/>
    <w:tmpl w:val="C54C9E72"/>
    <w:lvl w:ilvl="0" w:tplc="B746AD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A24869"/>
    <w:multiLevelType w:val="hybridMultilevel"/>
    <w:tmpl w:val="C01A4B46"/>
    <w:lvl w:ilvl="0" w:tplc="695E98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3F134E"/>
    <w:multiLevelType w:val="hybridMultilevel"/>
    <w:tmpl w:val="E64470DA"/>
    <w:lvl w:ilvl="0" w:tplc="206C1C1C">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6" w15:restartNumberingAfterBreak="0">
    <w:nsid w:val="7F7F11BD"/>
    <w:multiLevelType w:val="hybridMultilevel"/>
    <w:tmpl w:val="83E43E3A"/>
    <w:lvl w:ilvl="0" w:tplc="B762BA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9958921">
    <w:abstractNumId w:val="13"/>
  </w:num>
  <w:num w:numId="2" w16cid:durableId="1910531798">
    <w:abstractNumId w:val="7"/>
  </w:num>
  <w:num w:numId="3" w16cid:durableId="2127845913">
    <w:abstractNumId w:val="5"/>
  </w:num>
  <w:num w:numId="4" w16cid:durableId="1240558496">
    <w:abstractNumId w:val="11"/>
  </w:num>
  <w:num w:numId="5" w16cid:durableId="843015830">
    <w:abstractNumId w:val="3"/>
  </w:num>
  <w:num w:numId="6" w16cid:durableId="1631590202">
    <w:abstractNumId w:val="12"/>
  </w:num>
  <w:num w:numId="7" w16cid:durableId="1070494735">
    <w:abstractNumId w:val="9"/>
  </w:num>
  <w:num w:numId="8" w16cid:durableId="702563216">
    <w:abstractNumId w:val="2"/>
  </w:num>
  <w:num w:numId="9" w16cid:durableId="608782951">
    <w:abstractNumId w:val="14"/>
  </w:num>
  <w:num w:numId="10" w16cid:durableId="435949921">
    <w:abstractNumId w:val="1"/>
  </w:num>
  <w:num w:numId="11" w16cid:durableId="1589313863">
    <w:abstractNumId w:val="4"/>
  </w:num>
  <w:num w:numId="12" w16cid:durableId="1088310409">
    <w:abstractNumId w:val="15"/>
  </w:num>
  <w:num w:numId="13" w16cid:durableId="2010862199">
    <w:abstractNumId w:val="16"/>
  </w:num>
  <w:num w:numId="14" w16cid:durableId="1574390751">
    <w:abstractNumId w:val="10"/>
  </w:num>
  <w:num w:numId="15" w16cid:durableId="1628925597">
    <w:abstractNumId w:val="8"/>
  </w:num>
  <w:num w:numId="16" w16cid:durableId="150932149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89B1F81-18EF-4186-8516-C91FC610B2E2}"/>
    <w:docVar w:name="dgnword-eventsink" w:val="803728560"/>
  </w:docVars>
  <w:rsids>
    <w:rsidRoot w:val="000C255B"/>
    <w:rsid w:val="00002656"/>
    <w:rsid w:val="00003A26"/>
    <w:rsid w:val="00004342"/>
    <w:rsid w:val="000045D5"/>
    <w:rsid w:val="00007243"/>
    <w:rsid w:val="000102F9"/>
    <w:rsid w:val="000129D4"/>
    <w:rsid w:val="00013F57"/>
    <w:rsid w:val="000146B1"/>
    <w:rsid w:val="0001485D"/>
    <w:rsid w:val="000164B5"/>
    <w:rsid w:val="0001749F"/>
    <w:rsid w:val="00021E73"/>
    <w:rsid w:val="000232B3"/>
    <w:rsid w:val="00025F83"/>
    <w:rsid w:val="00026A48"/>
    <w:rsid w:val="00027AB2"/>
    <w:rsid w:val="000315DA"/>
    <w:rsid w:val="00033281"/>
    <w:rsid w:val="00033538"/>
    <w:rsid w:val="00033B1F"/>
    <w:rsid w:val="00033C0D"/>
    <w:rsid w:val="0003479F"/>
    <w:rsid w:val="0003711D"/>
    <w:rsid w:val="00040201"/>
    <w:rsid w:val="00040634"/>
    <w:rsid w:val="0004095B"/>
    <w:rsid w:val="00041CA3"/>
    <w:rsid w:val="00043C7E"/>
    <w:rsid w:val="0004749A"/>
    <w:rsid w:val="00050FA5"/>
    <w:rsid w:val="000521E1"/>
    <w:rsid w:val="00052FA5"/>
    <w:rsid w:val="00055551"/>
    <w:rsid w:val="0005622C"/>
    <w:rsid w:val="00061545"/>
    <w:rsid w:val="00061E90"/>
    <w:rsid w:val="0006245E"/>
    <w:rsid w:val="00066277"/>
    <w:rsid w:val="00066D01"/>
    <w:rsid w:val="000671C5"/>
    <w:rsid w:val="00070B79"/>
    <w:rsid w:val="00070F2C"/>
    <w:rsid w:val="000731C3"/>
    <w:rsid w:val="00081738"/>
    <w:rsid w:val="00081C87"/>
    <w:rsid w:val="00082ED1"/>
    <w:rsid w:val="00083815"/>
    <w:rsid w:val="000840AB"/>
    <w:rsid w:val="00084E7D"/>
    <w:rsid w:val="00085381"/>
    <w:rsid w:val="00086A10"/>
    <w:rsid w:val="00090D6F"/>
    <w:rsid w:val="00094E10"/>
    <w:rsid w:val="00096509"/>
    <w:rsid w:val="000A039F"/>
    <w:rsid w:val="000A0BFA"/>
    <w:rsid w:val="000A2664"/>
    <w:rsid w:val="000A2887"/>
    <w:rsid w:val="000A2956"/>
    <w:rsid w:val="000A2C41"/>
    <w:rsid w:val="000A7519"/>
    <w:rsid w:val="000A7981"/>
    <w:rsid w:val="000A7D46"/>
    <w:rsid w:val="000B1DFF"/>
    <w:rsid w:val="000B29E5"/>
    <w:rsid w:val="000B2C29"/>
    <w:rsid w:val="000B3B9A"/>
    <w:rsid w:val="000B53DC"/>
    <w:rsid w:val="000B5FAA"/>
    <w:rsid w:val="000C0B00"/>
    <w:rsid w:val="000C255B"/>
    <w:rsid w:val="000C4A83"/>
    <w:rsid w:val="000C4E62"/>
    <w:rsid w:val="000C5227"/>
    <w:rsid w:val="000C55C3"/>
    <w:rsid w:val="000C5F06"/>
    <w:rsid w:val="000C6B45"/>
    <w:rsid w:val="000C6C4E"/>
    <w:rsid w:val="000C7BDB"/>
    <w:rsid w:val="000D12ED"/>
    <w:rsid w:val="000D293A"/>
    <w:rsid w:val="000D370E"/>
    <w:rsid w:val="000D3B94"/>
    <w:rsid w:val="000D5090"/>
    <w:rsid w:val="000D72B2"/>
    <w:rsid w:val="000E2772"/>
    <w:rsid w:val="000E35A2"/>
    <w:rsid w:val="000E5BFE"/>
    <w:rsid w:val="000F2553"/>
    <w:rsid w:val="000F34EA"/>
    <w:rsid w:val="000F6E0F"/>
    <w:rsid w:val="000F79C0"/>
    <w:rsid w:val="0010250F"/>
    <w:rsid w:val="00102878"/>
    <w:rsid w:val="001031EB"/>
    <w:rsid w:val="001044D9"/>
    <w:rsid w:val="00105F1E"/>
    <w:rsid w:val="00106623"/>
    <w:rsid w:val="00107D8A"/>
    <w:rsid w:val="00107FC6"/>
    <w:rsid w:val="001132C8"/>
    <w:rsid w:val="0011773F"/>
    <w:rsid w:val="00117D80"/>
    <w:rsid w:val="00120BDE"/>
    <w:rsid w:val="001244A9"/>
    <w:rsid w:val="00126564"/>
    <w:rsid w:val="00126BE1"/>
    <w:rsid w:val="00127E28"/>
    <w:rsid w:val="001314DB"/>
    <w:rsid w:val="00131C4C"/>
    <w:rsid w:val="00133806"/>
    <w:rsid w:val="0013456D"/>
    <w:rsid w:val="001362F5"/>
    <w:rsid w:val="00137508"/>
    <w:rsid w:val="001402DA"/>
    <w:rsid w:val="00140F5B"/>
    <w:rsid w:val="00141758"/>
    <w:rsid w:val="00141D0D"/>
    <w:rsid w:val="00144547"/>
    <w:rsid w:val="00144781"/>
    <w:rsid w:val="00150512"/>
    <w:rsid w:val="00152BC8"/>
    <w:rsid w:val="00153A69"/>
    <w:rsid w:val="00155D3C"/>
    <w:rsid w:val="00156AD8"/>
    <w:rsid w:val="0015773E"/>
    <w:rsid w:val="00160F53"/>
    <w:rsid w:val="00164D0E"/>
    <w:rsid w:val="00165F6F"/>
    <w:rsid w:val="00166ED7"/>
    <w:rsid w:val="0016702B"/>
    <w:rsid w:val="0017196C"/>
    <w:rsid w:val="00173FEE"/>
    <w:rsid w:val="00174E9E"/>
    <w:rsid w:val="00175F33"/>
    <w:rsid w:val="001774B5"/>
    <w:rsid w:val="0018016A"/>
    <w:rsid w:val="001807F6"/>
    <w:rsid w:val="00184237"/>
    <w:rsid w:val="0018537F"/>
    <w:rsid w:val="0018722B"/>
    <w:rsid w:val="0019010A"/>
    <w:rsid w:val="00191F15"/>
    <w:rsid w:val="001934C3"/>
    <w:rsid w:val="00195E87"/>
    <w:rsid w:val="001964BC"/>
    <w:rsid w:val="001969FA"/>
    <w:rsid w:val="001A14A2"/>
    <w:rsid w:val="001A1B44"/>
    <w:rsid w:val="001A2245"/>
    <w:rsid w:val="001A2701"/>
    <w:rsid w:val="001A7205"/>
    <w:rsid w:val="001A7647"/>
    <w:rsid w:val="001A7698"/>
    <w:rsid w:val="001B168C"/>
    <w:rsid w:val="001B1C2C"/>
    <w:rsid w:val="001B4406"/>
    <w:rsid w:val="001B482E"/>
    <w:rsid w:val="001B4935"/>
    <w:rsid w:val="001B70EB"/>
    <w:rsid w:val="001C18A5"/>
    <w:rsid w:val="001C18EA"/>
    <w:rsid w:val="001C1B3D"/>
    <w:rsid w:val="001C3598"/>
    <w:rsid w:val="001C439C"/>
    <w:rsid w:val="001C58ED"/>
    <w:rsid w:val="001C71A5"/>
    <w:rsid w:val="001C7A89"/>
    <w:rsid w:val="001D2762"/>
    <w:rsid w:val="001D2991"/>
    <w:rsid w:val="001D2A49"/>
    <w:rsid w:val="001D2BA3"/>
    <w:rsid w:val="001D5AD1"/>
    <w:rsid w:val="001D5CC7"/>
    <w:rsid w:val="001E0CB2"/>
    <w:rsid w:val="001E2C40"/>
    <w:rsid w:val="001E316A"/>
    <w:rsid w:val="001E5C88"/>
    <w:rsid w:val="001E5EBF"/>
    <w:rsid w:val="001E5EE3"/>
    <w:rsid w:val="001E676E"/>
    <w:rsid w:val="001E71B3"/>
    <w:rsid w:val="001F1EFD"/>
    <w:rsid w:val="001F4276"/>
    <w:rsid w:val="001F4A2A"/>
    <w:rsid w:val="001F6924"/>
    <w:rsid w:val="001F6F1C"/>
    <w:rsid w:val="00200580"/>
    <w:rsid w:val="00201327"/>
    <w:rsid w:val="002020F3"/>
    <w:rsid w:val="00205869"/>
    <w:rsid w:val="00206CAC"/>
    <w:rsid w:val="0020778B"/>
    <w:rsid w:val="00210286"/>
    <w:rsid w:val="00211181"/>
    <w:rsid w:val="002122A8"/>
    <w:rsid w:val="002126C1"/>
    <w:rsid w:val="002135C5"/>
    <w:rsid w:val="00216146"/>
    <w:rsid w:val="00220376"/>
    <w:rsid w:val="002209E9"/>
    <w:rsid w:val="00221E01"/>
    <w:rsid w:val="00222EEC"/>
    <w:rsid w:val="002249FE"/>
    <w:rsid w:val="00225CA1"/>
    <w:rsid w:val="0023175A"/>
    <w:rsid w:val="002338E9"/>
    <w:rsid w:val="00234072"/>
    <w:rsid w:val="00236C68"/>
    <w:rsid w:val="00241796"/>
    <w:rsid w:val="0024190D"/>
    <w:rsid w:val="00241BF3"/>
    <w:rsid w:val="002444BB"/>
    <w:rsid w:val="00245780"/>
    <w:rsid w:val="00245F73"/>
    <w:rsid w:val="00246728"/>
    <w:rsid w:val="00250D0E"/>
    <w:rsid w:val="0025353B"/>
    <w:rsid w:val="002538ED"/>
    <w:rsid w:val="00255371"/>
    <w:rsid w:val="00255A08"/>
    <w:rsid w:val="002612CC"/>
    <w:rsid w:val="0026588B"/>
    <w:rsid w:val="0027084D"/>
    <w:rsid w:val="00270E64"/>
    <w:rsid w:val="00271B21"/>
    <w:rsid w:val="0027276A"/>
    <w:rsid w:val="00274741"/>
    <w:rsid w:val="002753AA"/>
    <w:rsid w:val="002753BF"/>
    <w:rsid w:val="002811D0"/>
    <w:rsid w:val="002816B9"/>
    <w:rsid w:val="002826CD"/>
    <w:rsid w:val="002877FE"/>
    <w:rsid w:val="0029231D"/>
    <w:rsid w:val="0029570E"/>
    <w:rsid w:val="00297F49"/>
    <w:rsid w:val="002A0422"/>
    <w:rsid w:val="002A165E"/>
    <w:rsid w:val="002A2C4F"/>
    <w:rsid w:val="002A2DBF"/>
    <w:rsid w:val="002A3B2A"/>
    <w:rsid w:val="002A3C80"/>
    <w:rsid w:val="002A4EBE"/>
    <w:rsid w:val="002A6AEE"/>
    <w:rsid w:val="002B08C9"/>
    <w:rsid w:val="002B0BAC"/>
    <w:rsid w:val="002B214E"/>
    <w:rsid w:val="002B4B56"/>
    <w:rsid w:val="002B4D2C"/>
    <w:rsid w:val="002B6184"/>
    <w:rsid w:val="002B65B4"/>
    <w:rsid w:val="002C0043"/>
    <w:rsid w:val="002C01DE"/>
    <w:rsid w:val="002C020E"/>
    <w:rsid w:val="002C0C8C"/>
    <w:rsid w:val="002C4D49"/>
    <w:rsid w:val="002C5F6D"/>
    <w:rsid w:val="002C6A78"/>
    <w:rsid w:val="002C6BBF"/>
    <w:rsid w:val="002C734F"/>
    <w:rsid w:val="002C7A59"/>
    <w:rsid w:val="002D02F9"/>
    <w:rsid w:val="002D07E8"/>
    <w:rsid w:val="002D11F0"/>
    <w:rsid w:val="002D2A95"/>
    <w:rsid w:val="002D2C7C"/>
    <w:rsid w:val="002D48D0"/>
    <w:rsid w:val="002D5EC9"/>
    <w:rsid w:val="002D62A2"/>
    <w:rsid w:val="002E043A"/>
    <w:rsid w:val="002E0D45"/>
    <w:rsid w:val="002E230A"/>
    <w:rsid w:val="002E2FB2"/>
    <w:rsid w:val="002E40F6"/>
    <w:rsid w:val="002E6DFE"/>
    <w:rsid w:val="002E7D57"/>
    <w:rsid w:val="002F5C53"/>
    <w:rsid w:val="00302943"/>
    <w:rsid w:val="00302C6D"/>
    <w:rsid w:val="003055EB"/>
    <w:rsid w:val="003057B8"/>
    <w:rsid w:val="00312711"/>
    <w:rsid w:val="0031602F"/>
    <w:rsid w:val="00317FD5"/>
    <w:rsid w:val="00320219"/>
    <w:rsid w:val="00321005"/>
    <w:rsid w:val="00322CCC"/>
    <w:rsid w:val="003256CD"/>
    <w:rsid w:val="00325C79"/>
    <w:rsid w:val="00325D1D"/>
    <w:rsid w:val="00325EA4"/>
    <w:rsid w:val="003260D6"/>
    <w:rsid w:val="003279CE"/>
    <w:rsid w:val="00327B5E"/>
    <w:rsid w:val="00331408"/>
    <w:rsid w:val="00331532"/>
    <w:rsid w:val="0033440F"/>
    <w:rsid w:val="003431C0"/>
    <w:rsid w:val="0034320B"/>
    <w:rsid w:val="003457B3"/>
    <w:rsid w:val="00345C30"/>
    <w:rsid w:val="00345E7F"/>
    <w:rsid w:val="00346FF2"/>
    <w:rsid w:val="00347E7F"/>
    <w:rsid w:val="003527AB"/>
    <w:rsid w:val="00354420"/>
    <w:rsid w:val="003548C8"/>
    <w:rsid w:val="00355C98"/>
    <w:rsid w:val="00356746"/>
    <w:rsid w:val="0036099B"/>
    <w:rsid w:val="003640AB"/>
    <w:rsid w:val="003656E1"/>
    <w:rsid w:val="003663C7"/>
    <w:rsid w:val="00372A10"/>
    <w:rsid w:val="00376752"/>
    <w:rsid w:val="00376BD1"/>
    <w:rsid w:val="00376C39"/>
    <w:rsid w:val="0038014C"/>
    <w:rsid w:val="003803D1"/>
    <w:rsid w:val="003851B0"/>
    <w:rsid w:val="003877C1"/>
    <w:rsid w:val="00391583"/>
    <w:rsid w:val="00393E85"/>
    <w:rsid w:val="003A0AA9"/>
    <w:rsid w:val="003A0B76"/>
    <w:rsid w:val="003A3D00"/>
    <w:rsid w:val="003A4AB6"/>
    <w:rsid w:val="003A5E1D"/>
    <w:rsid w:val="003B4ABD"/>
    <w:rsid w:val="003C1EFC"/>
    <w:rsid w:val="003C5967"/>
    <w:rsid w:val="003D0747"/>
    <w:rsid w:val="003D264C"/>
    <w:rsid w:val="003D65EB"/>
    <w:rsid w:val="003D6C57"/>
    <w:rsid w:val="003E0E22"/>
    <w:rsid w:val="003E3D3F"/>
    <w:rsid w:val="003E4BFA"/>
    <w:rsid w:val="003E63D6"/>
    <w:rsid w:val="003F0119"/>
    <w:rsid w:val="003F01DF"/>
    <w:rsid w:val="003F3203"/>
    <w:rsid w:val="003F5241"/>
    <w:rsid w:val="003F70FC"/>
    <w:rsid w:val="003F7B0A"/>
    <w:rsid w:val="0040003F"/>
    <w:rsid w:val="00401390"/>
    <w:rsid w:val="004020B3"/>
    <w:rsid w:val="004038D7"/>
    <w:rsid w:val="00403DC6"/>
    <w:rsid w:val="00403E71"/>
    <w:rsid w:val="00404602"/>
    <w:rsid w:val="00406FF9"/>
    <w:rsid w:val="0040783D"/>
    <w:rsid w:val="00407FD3"/>
    <w:rsid w:val="004154A6"/>
    <w:rsid w:val="0041597A"/>
    <w:rsid w:val="0042000D"/>
    <w:rsid w:val="004245F2"/>
    <w:rsid w:val="00425086"/>
    <w:rsid w:val="00426CAA"/>
    <w:rsid w:val="00427199"/>
    <w:rsid w:val="004338B2"/>
    <w:rsid w:val="004342A1"/>
    <w:rsid w:val="00434FF2"/>
    <w:rsid w:val="0043522C"/>
    <w:rsid w:val="00440A0D"/>
    <w:rsid w:val="00444200"/>
    <w:rsid w:val="00444DE7"/>
    <w:rsid w:val="00447322"/>
    <w:rsid w:val="00447499"/>
    <w:rsid w:val="00447572"/>
    <w:rsid w:val="0045229C"/>
    <w:rsid w:val="00453C32"/>
    <w:rsid w:val="004558C0"/>
    <w:rsid w:val="00457339"/>
    <w:rsid w:val="00457612"/>
    <w:rsid w:val="0045773E"/>
    <w:rsid w:val="004608B4"/>
    <w:rsid w:val="00461919"/>
    <w:rsid w:val="00461C16"/>
    <w:rsid w:val="004629BE"/>
    <w:rsid w:val="00463CEA"/>
    <w:rsid w:val="00464371"/>
    <w:rsid w:val="00467517"/>
    <w:rsid w:val="00471117"/>
    <w:rsid w:val="004727CA"/>
    <w:rsid w:val="00472B51"/>
    <w:rsid w:val="00472CBE"/>
    <w:rsid w:val="0047374C"/>
    <w:rsid w:val="00473891"/>
    <w:rsid w:val="0047548F"/>
    <w:rsid w:val="00480A3F"/>
    <w:rsid w:val="00486177"/>
    <w:rsid w:val="004878B8"/>
    <w:rsid w:val="0049150D"/>
    <w:rsid w:val="00491EDD"/>
    <w:rsid w:val="00495356"/>
    <w:rsid w:val="00497C4B"/>
    <w:rsid w:val="004A07A4"/>
    <w:rsid w:val="004B0D42"/>
    <w:rsid w:val="004B1D3A"/>
    <w:rsid w:val="004B5024"/>
    <w:rsid w:val="004B5FA5"/>
    <w:rsid w:val="004B7417"/>
    <w:rsid w:val="004B7B2D"/>
    <w:rsid w:val="004B7C0E"/>
    <w:rsid w:val="004C0319"/>
    <w:rsid w:val="004C107A"/>
    <w:rsid w:val="004C211A"/>
    <w:rsid w:val="004C73BA"/>
    <w:rsid w:val="004D049F"/>
    <w:rsid w:val="004D1F26"/>
    <w:rsid w:val="004D20F7"/>
    <w:rsid w:val="004D31F0"/>
    <w:rsid w:val="004D3939"/>
    <w:rsid w:val="004D43EE"/>
    <w:rsid w:val="004D6073"/>
    <w:rsid w:val="004D7803"/>
    <w:rsid w:val="004E187A"/>
    <w:rsid w:val="004E3A07"/>
    <w:rsid w:val="004F1212"/>
    <w:rsid w:val="004F5E2A"/>
    <w:rsid w:val="00507713"/>
    <w:rsid w:val="00507F8C"/>
    <w:rsid w:val="00511FDD"/>
    <w:rsid w:val="00512D5D"/>
    <w:rsid w:val="00513369"/>
    <w:rsid w:val="0051534C"/>
    <w:rsid w:val="005159B5"/>
    <w:rsid w:val="00515C48"/>
    <w:rsid w:val="00516614"/>
    <w:rsid w:val="0051696C"/>
    <w:rsid w:val="0051753B"/>
    <w:rsid w:val="00517A52"/>
    <w:rsid w:val="00517EFD"/>
    <w:rsid w:val="00522B77"/>
    <w:rsid w:val="0052393A"/>
    <w:rsid w:val="00523E92"/>
    <w:rsid w:val="00524334"/>
    <w:rsid w:val="005276AA"/>
    <w:rsid w:val="00530E33"/>
    <w:rsid w:val="0053265C"/>
    <w:rsid w:val="00534489"/>
    <w:rsid w:val="00534934"/>
    <w:rsid w:val="00534B2B"/>
    <w:rsid w:val="0053564B"/>
    <w:rsid w:val="00536C3B"/>
    <w:rsid w:val="005400EF"/>
    <w:rsid w:val="005408A0"/>
    <w:rsid w:val="005476E5"/>
    <w:rsid w:val="005478BF"/>
    <w:rsid w:val="00550E90"/>
    <w:rsid w:val="00551013"/>
    <w:rsid w:val="0055170F"/>
    <w:rsid w:val="00553638"/>
    <w:rsid w:val="00553908"/>
    <w:rsid w:val="0055495E"/>
    <w:rsid w:val="00555162"/>
    <w:rsid w:val="00570FCA"/>
    <w:rsid w:val="005722F4"/>
    <w:rsid w:val="00572F99"/>
    <w:rsid w:val="0057309B"/>
    <w:rsid w:val="005733F8"/>
    <w:rsid w:val="005741D2"/>
    <w:rsid w:val="0057454B"/>
    <w:rsid w:val="005750E7"/>
    <w:rsid w:val="005767E3"/>
    <w:rsid w:val="00576CAB"/>
    <w:rsid w:val="00577128"/>
    <w:rsid w:val="00577649"/>
    <w:rsid w:val="00581147"/>
    <w:rsid w:val="005906C3"/>
    <w:rsid w:val="00590A0C"/>
    <w:rsid w:val="00590D2A"/>
    <w:rsid w:val="00592499"/>
    <w:rsid w:val="005936AB"/>
    <w:rsid w:val="00595ADD"/>
    <w:rsid w:val="005A0E27"/>
    <w:rsid w:val="005A112A"/>
    <w:rsid w:val="005A12FC"/>
    <w:rsid w:val="005A15AB"/>
    <w:rsid w:val="005A2D8A"/>
    <w:rsid w:val="005A3FC7"/>
    <w:rsid w:val="005A5AA6"/>
    <w:rsid w:val="005A5BC1"/>
    <w:rsid w:val="005A5D52"/>
    <w:rsid w:val="005A6515"/>
    <w:rsid w:val="005B2915"/>
    <w:rsid w:val="005B35B0"/>
    <w:rsid w:val="005B532E"/>
    <w:rsid w:val="005B53BF"/>
    <w:rsid w:val="005B556B"/>
    <w:rsid w:val="005B62C6"/>
    <w:rsid w:val="005B683A"/>
    <w:rsid w:val="005B6EF0"/>
    <w:rsid w:val="005C170D"/>
    <w:rsid w:val="005C40E2"/>
    <w:rsid w:val="005C4865"/>
    <w:rsid w:val="005C75EA"/>
    <w:rsid w:val="005D083B"/>
    <w:rsid w:val="005E0AB4"/>
    <w:rsid w:val="005E0E58"/>
    <w:rsid w:val="005E267C"/>
    <w:rsid w:val="005E2A32"/>
    <w:rsid w:val="005E4230"/>
    <w:rsid w:val="005E6542"/>
    <w:rsid w:val="005F3F70"/>
    <w:rsid w:val="005F6368"/>
    <w:rsid w:val="006023B2"/>
    <w:rsid w:val="00603751"/>
    <w:rsid w:val="0060390B"/>
    <w:rsid w:val="006059A9"/>
    <w:rsid w:val="00607FEC"/>
    <w:rsid w:val="0061032A"/>
    <w:rsid w:val="00610981"/>
    <w:rsid w:val="00612E38"/>
    <w:rsid w:val="0061402C"/>
    <w:rsid w:val="00614D20"/>
    <w:rsid w:val="00615519"/>
    <w:rsid w:val="00616B9C"/>
    <w:rsid w:val="00620073"/>
    <w:rsid w:val="00621920"/>
    <w:rsid w:val="00621CF8"/>
    <w:rsid w:val="00621ED5"/>
    <w:rsid w:val="00622449"/>
    <w:rsid w:val="0062444B"/>
    <w:rsid w:val="00624658"/>
    <w:rsid w:val="00625494"/>
    <w:rsid w:val="00625B6B"/>
    <w:rsid w:val="00627212"/>
    <w:rsid w:val="0063260D"/>
    <w:rsid w:val="0063277A"/>
    <w:rsid w:val="00632DC4"/>
    <w:rsid w:val="006333D6"/>
    <w:rsid w:val="0063687D"/>
    <w:rsid w:val="00636E18"/>
    <w:rsid w:val="0064083C"/>
    <w:rsid w:val="00641FAA"/>
    <w:rsid w:val="006423D3"/>
    <w:rsid w:val="00643304"/>
    <w:rsid w:val="00643DEF"/>
    <w:rsid w:val="00644C03"/>
    <w:rsid w:val="00646C3F"/>
    <w:rsid w:val="00650B1F"/>
    <w:rsid w:val="006512A7"/>
    <w:rsid w:val="006516A9"/>
    <w:rsid w:val="00652B84"/>
    <w:rsid w:val="006530D4"/>
    <w:rsid w:val="006564C1"/>
    <w:rsid w:val="00660C46"/>
    <w:rsid w:val="0066507F"/>
    <w:rsid w:val="00665459"/>
    <w:rsid w:val="00665856"/>
    <w:rsid w:val="00666BA9"/>
    <w:rsid w:val="006675F6"/>
    <w:rsid w:val="00670298"/>
    <w:rsid w:val="0067262D"/>
    <w:rsid w:val="006728E7"/>
    <w:rsid w:val="00672B06"/>
    <w:rsid w:val="00673EBD"/>
    <w:rsid w:val="0067429E"/>
    <w:rsid w:val="006766D8"/>
    <w:rsid w:val="00676D6F"/>
    <w:rsid w:val="006804C4"/>
    <w:rsid w:val="0068203B"/>
    <w:rsid w:val="00684941"/>
    <w:rsid w:val="00687BB1"/>
    <w:rsid w:val="006912C7"/>
    <w:rsid w:val="00691671"/>
    <w:rsid w:val="006937BE"/>
    <w:rsid w:val="006941F1"/>
    <w:rsid w:val="0069460A"/>
    <w:rsid w:val="00694875"/>
    <w:rsid w:val="00694E69"/>
    <w:rsid w:val="00694FA1"/>
    <w:rsid w:val="006952AF"/>
    <w:rsid w:val="00695382"/>
    <w:rsid w:val="006964AD"/>
    <w:rsid w:val="00697F88"/>
    <w:rsid w:val="006A0AFF"/>
    <w:rsid w:val="006A795C"/>
    <w:rsid w:val="006B3B7E"/>
    <w:rsid w:val="006B6405"/>
    <w:rsid w:val="006C04ED"/>
    <w:rsid w:val="006C14DC"/>
    <w:rsid w:val="006C2C06"/>
    <w:rsid w:val="006C2CEF"/>
    <w:rsid w:val="006C45F9"/>
    <w:rsid w:val="006C4834"/>
    <w:rsid w:val="006C669B"/>
    <w:rsid w:val="006C7ADA"/>
    <w:rsid w:val="006D002A"/>
    <w:rsid w:val="006D1C09"/>
    <w:rsid w:val="006D2800"/>
    <w:rsid w:val="006D4B7C"/>
    <w:rsid w:val="006D61A9"/>
    <w:rsid w:val="006D6272"/>
    <w:rsid w:val="006D63D8"/>
    <w:rsid w:val="006D662F"/>
    <w:rsid w:val="006E1349"/>
    <w:rsid w:val="006E4432"/>
    <w:rsid w:val="006E51E2"/>
    <w:rsid w:val="006E5FD9"/>
    <w:rsid w:val="006E679C"/>
    <w:rsid w:val="006F0717"/>
    <w:rsid w:val="006F10E0"/>
    <w:rsid w:val="00707138"/>
    <w:rsid w:val="007106D2"/>
    <w:rsid w:val="007111C8"/>
    <w:rsid w:val="00712C28"/>
    <w:rsid w:val="00713218"/>
    <w:rsid w:val="0071424A"/>
    <w:rsid w:val="0071436A"/>
    <w:rsid w:val="007148BA"/>
    <w:rsid w:val="00715321"/>
    <w:rsid w:val="00717564"/>
    <w:rsid w:val="007212FA"/>
    <w:rsid w:val="007218C2"/>
    <w:rsid w:val="00722D79"/>
    <w:rsid w:val="00725D61"/>
    <w:rsid w:val="00726B03"/>
    <w:rsid w:val="00727517"/>
    <w:rsid w:val="007317CF"/>
    <w:rsid w:val="007401A0"/>
    <w:rsid w:val="00740DE6"/>
    <w:rsid w:val="00741216"/>
    <w:rsid w:val="00746AEF"/>
    <w:rsid w:val="0074754F"/>
    <w:rsid w:val="0074798F"/>
    <w:rsid w:val="00747EE5"/>
    <w:rsid w:val="007511E5"/>
    <w:rsid w:val="00752967"/>
    <w:rsid w:val="00752A3A"/>
    <w:rsid w:val="00754644"/>
    <w:rsid w:val="00754B6A"/>
    <w:rsid w:val="00755E5D"/>
    <w:rsid w:val="0075720E"/>
    <w:rsid w:val="007611A2"/>
    <w:rsid w:val="0076243E"/>
    <w:rsid w:val="007639BD"/>
    <w:rsid w:val="00765A36"/>
    <w:rsid w:val="00767A0B"/>
    <w:rsid w:val="0077233E"/>
    <w:rsid w:val="00773A6D"/>
    <w:rsid w:val="007746AC"/>
    <w:rsid w:val="00774A14"/>
    <w:rsid w:val="0077503E"/>
    <w:rsid w:val="007823C3"/>
    <w:rsid w:val="00782A58"/>
    <w:rsid w:val="00783CAB"/>
    <w:rsid w:val="00783CAE"/>
    <w:rsid w:val="007859F7"/>
    <w:rsid w:val="00786E55"/>
    <w:rsid w:val="007902F5"/>
    <w:rsid w:val="00790358"/>
    <w:rsid w:val="00794075"/>
    <w:rsid w:val="00794D6B"/>
    <w:rsid w:val="007967F1"/>
    <w:rsid w:val="007A002B"/>
    <w:rsid w:val="007A02AF"/>
    <w:rsid w:val="007A1BD4"/>
    <w:rsid w:val="007A3BDB"/>
    <w:rsid w:val="007A421D"/>
    <w:rsid w:val="007A5977"/>
    <w:rsid w:val="007A6687"/>
    <w:rsid w:val="007A7D13"/>
    <w:rsid w:val="007B1743"/>
    <w:rsid w:val="007B214F"/>
    <w:rsid w:val="007B2B03"/>
    <w:rsid w:val="007B31E2"/>
    <w:rsid w:val="007B3B91"/>
    <w:rsid w:val="007B4C85"/>
    <w:rsid w:val="007B5538"/>
    <w:rsid w:val="007B5712"/>
    <w:rsid w:val="007B75FD"/>
    <w:rsid w:val="007C18C0"/>
    <w:rsid w:val="007C1AE5"/>
    <w:rsid w:val="007C273C"/>
    <w:rsid w:val="007C2FAA"/>
    <w:rsid w:val="007C33A2"/>
    <w:rsid w:val="007C5115"/>
    <w:rsid w:val="007C5DD0"/>
    <w:rsid w:val="007D1353"/>
    <w:rsid w:val="007D3105"/>
    <w:rsid w:val="007D4168"/>
    <w:rsid w:val="007D4B9B"/>
    <w:rsid w:val="007E0735"/>
    <w:rsid w:val="007E7432"/>
    <w:rsid w:val="007F5DDC"/>
    <w:rsid w:val="007F7E24"/>
    <w:rsid w:val="00802DA2"/>
    <w:rsid w:val="00803932"/>
    <w:rsid w:val="00805AE0"/>
    <w:rsid w:val="00806F79"/>
    <w:rsid w:val="0080734F"/>
    <w:rsid w:val="008077A9"/>
    <w:rsid w:val="00807828"/>
    <w:rsid w:val="00810372"/>
    <w:rsid w:val="00810D4F"/>
    <w:rsid w:val="00813F7F"/>
    <w:rsid w:val="00817230"/>
    <w:rsid w:val="008210F4"/>
    <w:rsid w:val="0082233C"/>
    <w:rsid w:val="00823502"/>
    <w:rsid w:val="0082586A"/>
    <w:rsid w:val="00826B08"/>
    <w:rsid w:val="00833B35"/>
    <w:rsid w:val="00834E69"/>
    <w:rsid w:val="00835CB3"/>
    <w:rsid w:val="00835EFA"/>
    <w:rsid w:val="00835FB8"/>
    <w:rsid w:val="008375CF"/>
    <w:rsid w:val="00840AC1"/>
    <w:rsid w:val="00840ADE"/>
    <w:rsid w:val="00842686"/>
    <w:rsid w:val="00847225"/>
    <w:rsid w:val="0085003F"/>
    <w:rsid w:val="00851256"/>
    <w:rsid w:val="00853E1D"/>
    <w:rsid w:val="00854479"/>
    <w:rsid w:val="00855E51"/>
    <w:rsid w:val="00857144"/>
    <w:rsid w:val="008610B7"/>
    <w:rsid w:val="00861633"/>
    <w:rsid w:val="00862920"/>
    <w:rsid w:val="00863557"/>
    <w:rsid w:val="00866B07"/>
    <w:rsid w:val="00866C17"/>
    <w:rsid w:val="00870904"/>
    <w:rsid w:val="00870DFA"/>
    <w:rsid w:val="0087226C"/>
    <w:rsid w:val="008759FC"/>
    <w:rsid w:val="00875B2D"/>
    <w:rsid w:val="00876129"/>
    <w:rsid w:val="00881003"/>
    <w:rsid w:val="00885FF2"/>
    <w:rsid w:val="00887479"/>
    <w:rsid w:val="008934A7"/>
    <w:rsid w:val="00893CB7"/>
    <w:rsid w:val="00893EE1"/>
    <w:rsid w:val="00893F1D"/>
    <w:rsid w:val="008960B0"/>
    <w:rsid w:val="00896389"/>
    <w:rsid w:val="00896414"/>
    <w:rsid w:val="008A345D"/>
    <w:rsid w:val="008A5CF2"/>
    <w:rsid w:val="008A63C7"/>
    <w:rsid w:val="008A7DBD"/>
    <w:rsid w:val="008B0198"/>
    <w:rsid w:val="008B146B"/>
    <w:rsid w:val="008B5AD7"/>
    <w:rsid w:val="008B6321"/>
    <w:rsid w:val="008C0502"/>
    <w:rsid w:val="008C531F"/>
    <w:rsid w:val="008C7A70"/>
    <w:rsid w:val="008D07C8"/>
    <w:rsid w:val="008D0A44"/>
    <w:rsid w:val="008D107B"/>
    <w:rsid w:val="008D11C0"/>
    <w:rsid w:val="008D2E25"/>
    <w:rsid w:val="008D7E17"/>
    <w:rsid w:val="008E45DE"/>
    <w:rsid w:val="008E6703"/>
    <w:rsid w:val="008E6FBE"/>
    <w:rsid w:val="008F0474"/>
    <w:rsid w:val="008F328F"/>
    <w:rsid w:val="008F43A3"/>
    <w:rsid w:val="008F615D"/>
    <w:rsid w:val="008F6D26"/>
    <w:rsid w:val="009046F3"/>
    <w:rsid w:val="0090537F"/>
    <w:rsid w:val="009066E6"/>
    <w:rsid w:val="0090672E"/>
    <w:rsid w:val="00910608"/>
    <w:rsid w:val="009115C5"/>
    <w:rsid w:val="00912871"/>
    <w:rsid w:val="00912F19"/>
    <w:rsid w:val="009130BC"/>
    <w:rsid w:val="00913335"/>
    <w:rsid w:val="00913B86"/>
    <w:rsid w:val="00915507"/>
    <w:rsid w:val="0091647A"/>
    <w:rsid w:val="009164BA"/>
    <w:rsid w:val="00916A81"/>
    <w:rsid w:val="009173C7"/>
    <w:rsid w:val="00917BBC"/>
    <w:rsid w:val="00920E3B"/>
    <w:rsid w:val="00920FD6"/>
    <w:rsid w:val="0092253B"/>
    <w:rsid w:val="00922D7D"/>
    <w:rsid w:val="00922E5D"/>
    <w:rsid w:val="00922F4F"/>
    <w:rsid w:val="00923976"/>
    <w:rsid w:val="009244D9"/>
    <w:rsid w:val="00924CDD"/>
    <w:rsid w:val="009263DB"/>
    <w:rsid w:val="0092672F"/>
    <w:rsid w:val="00930191"/>
    <w:rsid w:val="00933A65"/>
    <w:rsid w:val="00933A75"/>
    <w:rsid w:val="00934365"/>
    <w:rsid w:val="00934E78"/>
    <w:rsid w:val="0093579E"/>
    <w:rsid w:val="00935BD3"/>
    <w:rsid w:val="00936CC4"/>
    <w:rsid w:val="009372CB"/>
    <w:rsid w:val="00940CA1"/>
    <w:rsid w:val="009429E2"/>
    <w:rsid w:val="009432BE"/>
    <w:rsid w:val="009437A9"/>
    <w:rsid w:val="009439C6"/>
    <w:rsid w:val="00945DE0"/>
    <w:rsid w:val="00945E43"/>
    <w:rsid w:val="009477EE"/>
    <w:rsid w:val="00950A56"/>
    <w:rsid w:val="00951676"/>
    <w:rsid w:val="0095180E"/>
    <w:rsid w:val="00955399"/>
    <w:rsid w:val="00960AEF"/>
    <w:rsid w:val="00961A42"/>
    <w:rsid w:val="009622FB"/>
    <w:rsid w:val="009640EE"/>
    <w:rsid w:val="00970A31"/>
    <w:rsid w:val="00973DF2"/>
    <w:rsid w:val="00975749"/>
    <w:rsid w:val="00976FE3"/>
    <w:rsid w:val="0097765E"/>
    <w:rsid w:val="0098141E"/>
    <w:rsid w:val="009817F9"/>
    <w:rsid w:val="00982196"/>
    <w:rsid w:val="00984A7E"/>
    <w:rsid w:val="00984FBA"/>
    <w:rsid w:val="009865E5"/>
    <w:rsid w:val="0098703F"/>
    <w:rsid w:val="00987AA8"/>
    <w:rsid w:val="00992F4E"/>
    <w:rsid w:val="0099322B"/>
    <w:rsid w:val="00995BC3"/>
    <w:rsid w:val="009A0BAA"/>
    <w:rsid w:val="009A1056"/>
    <w:rsid w:val="009A3027"/>
    <w:rsid w:val="009A64FD"/>
    <w:rsid w:val="009B4906"/>
    <w:rsid w:val="009B54C6"/>
    <w:rsid w:val="009B6DF8"/>
    <w:rsid w:val="009B7136"/>
    <w:rsid w:val="009C0315"/>
    <w:rsid w:val="009C1764"/>
    <w:rsid w:val="009C6308"/>
    <w:rsid w:val="009D3845"/>
    <w:rsid w:val="009D5C28"/>
    <w:rsid w:val="009D5E6F"/>
    <w:rsid w:val="009D7426"/>
    <w:rsid w:val="009E190C"/>
    <w:rsid w:val="009E61B9"/>
    <w:rsid w:val="009E7468"/>
    <w:rsid w:val="009F6D9E"/>
    <w:rsid w:val="009F7055"/>
    <w:rsid w:val="00A007C5"/>
    <w:rsid w:val="00A040EE"/>
    <w:rsid w:val="00A05237"/>
    <w:rsid w:val="00A07838"/>
    <w:rsid w:val="00A10044"/>
    <w:rsid w:val="00A1064E"/>
    <w:rsid w:val="00A13C19"/>
    <w:rsid w:val="00A14907"/>
    <w:rsid w:val="00A160F9"/>
    <w:rsid w:val="00A25338"/>
    <w:rsid w:val="00A27BBC"/>
    <w:rsid w:val="00A30134"/>
    <w:rsid w:val="00A318B0"/>
    <w:rsid w:val="00A34090"/>
    <w:rsid w:val="00A352C2"/>
    <w:rsid w:val="00A40538"/>
    <w:rsid w:val="00A441CD"/>
    <w:rsid w:val="00A465ED"/>
    <w:rsid w:val="00A46956"/>
    <w:rsid w:val="00A4779B"/>
    <w:rsid w:val="00A51449"/>
    <w:rsid w:val="00A51DF4"/>
    <w:rsid w:val="00A5239B"/>
    <w:rsid w:val="00A53A4D"/>
    <w:rsid w:val="00A53EB9"/>
    <w:rsid w:val="00A556AF"/>
    <w:rsid w:val="00A560C4"/>
    <w:rsid w:val="00A601A0"/>
    <w:rsid w:val="00A60202"/>
    <w:rsid w:val="00A6060D"/>
    <w:rsid w:val="00A60B17"/>
    <w:rsid w:val="00A6115E"/>
    <w:rsid w:val="00A62A89"/>
    <w:rsid w:val="00A648AA"/>
    <w:rsid w:val="00A65C26"/>
    <w:rsid w:val="00A65CE3"/>
    <w:rsid w:val="00A65FCA"/>
    <w:rsid w:val="00A666FE"/>
    <w:rsid w:val="00A6690B"/>
    <w:rsid w:val="00A66BA0"/>
    <w:rsid w:val="00A67054"/>
    <w:rsid w:val="00A67550"/>
    <w:rsid w:val="00A67839"/>
    <w:rsid w:val="00A67FF3"/>
    <w:rsid w:val="00A70A81"/>
    <w:rsid w:val="00A7174F"/>
    <w:rsid w:val="00A71F8F"/>
    <w:rsid w:val="00A72B0E"/>
    <w:rsid w:val="00A72C40"/>
    <w:rsid w:val="00A74036"/>
    <w:rsid w:val="00A744E5"/>
    <w:rsid w:val="00A74992"/>
    <w:rsid w:val="00A750E7"/>
    <w:rsid w:val="00A768AF"/>
    <w:rsid w:val="00A76C0D"/>
    <w:rsid w:val="00A818F8"/>
    <w:rsid w:val="00A81D81"/>
    <w:rsid w:val="00A820DD"/>
    <w:rsid w:val="00A84C1B"/>
    <w:rsid w:val="00A853B4"/>
    <w:rsid w:val="00A85FAC"/>
    <w:rsid w:val="00A87369"/>
    <w:rsid w:val="00A90717"/>
    <w:rsid w:val="00A907E3"/>
    <w:rsid w:val="00A915C7"/>
    <w:rsid w:val="00A93B1B"/>
    <w:rsid w:val="00A93DEB"/>
    <w:rsid w:val="00A941DC"/>
    <w:rsid w:val="00AA042A"/>
    <w:rsid w:val="00AA079D"/>
    <w:rsid w:val="00AA0B76"/>
    <w:rsid w:val="00AA1874"/>
    <w:rsid w:val="00AA4FF1"/>
    <w:rsid w:val="00AA614C"/>
    <w:rsid w:val="00AA7241"/>
    <w:rsid w:val="00AA7CC2"/>
    <w:rsid w:val="00AA7D79"/>
    <w:rsid w:val="00AB028C"/>
    <w:rsid w:val="00AB2172"/>
    <w:rsid w:val="00AB4C39"/>
    <w:rsid w:val="00AB4F14"/>
    <w:rsid w:val="00AB584E"/>
    <w:rsid w:val="00AB5CE4"/>
    <w:rsid w:val="00AB74FB"/>
    <w:rsid w:val="00AB7A24"/>
    <w:rsid w:val="00AC047D"/>
    <w:rsid w:val="00AC12E0"/>
    <w:rsid w:val="00AC1EC4"/>
    <w:rsid w:val="00AC2831"/>
    <w:rsid w:val="00AC3023"/>
    <w:rsid w:val="00AC41FB"/>
    <w:rsid w:val="00AC666D"/>
    <w:rsid w:val="00AD0950"/>
    <w:rsid w:val="00AD148B"/>
    <w:rsid w:val="00AD271C"/>
    <w:rsid w:val="00AD2B98"/>
    <w:rsid w:val="00AD4522"/>
    <w:rsid w:val="00AD635D"/>
    <w:rsid w:val="00AD68A0"/>
    <w:rsid w:val="00AD7587"/>
    <w:rsid w:val="00AD75E7"/>
    <w:rsid w:val="00AD7BA1"/>
    <w:rsid w:val="00AE17B8"/>
    <w:rsid w:val="00AE1EED"/>
    <w:rsid w:val="00AE4683"/>
    <w:rsid w:val="00AE76A4"/>
    <w:rsid w:val="00AF4193"/>
    <w:rsid w:val="00AF74A4"/>
    <w:rsid w:val="00B00336"/>
    <w:rsid w:val="00B017C3"/>
    <w:rsid w:val="00B02637"/>
    <w:rsid w:val="00B026C8"/>
    <w:rsid w:val="00B02B9B"/>
    <w:rsid w:val="00B03498"/>
    <w:rsid w:val="00B05572"/>
    <w:rsid w:val="00B071B6"/>
    <w:rsid w:val="00B07743"/>
    <w:rsid w:val="00B10CC1"/>
    <w:rsid w:val="00B115A9"/>
    <w:rsid w:val="00B15FDF"/>
    <w:rsid w:val="00B16C0C"/>
    <w:rsid w:val="00B16F47"/>
    <w:rsid w:val="00B175AB"/>
    <w:rsid w:val="00B228AD"/>
    <w:rsid w:val="00B25656"/>
    <w:rsid w:val="00B30B9C"/>
    <w:rsid w:val="00B30FE9"/>
    <w:rsid w:val="00B31ACD"/>
    <w:rsid w:val="00B31EA9"/>
    <w:rsid w:val="00B320DB"/>
    <w:rsid w:val="00B32278"/>
    <w:rsid w:val="00B33043"/>
    <w:rsid w:val="00B377CF"/>
    <w:rsid w:val="00B37CE4"/>
    <w:rsid w:val="00B41F50"/>
    <w:rsid w:val="00B43E2A"/>
    <w:rsid w:val="00B44D35"/>
    <w:rsid w:val="00B50EB2"/>
    <w:rsid w:val="00B5156C"/>
    <w:rsid w:val="00B51F74"/>
    <w:rsid w:val="00B5232F"/>
    <w:rsid w:val="00B5654E"/>
    <w:rsid w:val="00B56B95"/>
    <w:rsid w:val="00B60203"/>
    <w:rsid w:val="00B602FC"/>
    <w:rsid w:val="00B62608"/>
    <w:rsid w:val="00B67F76"/>
    <w:rsid w:val="00B70CA3"/>
    <w:rsid w:val="00B70DA8"/>
    <w:rsid w:val="00B7177F"/>
    <w:rsid w:val="00B73135"/>
    <w:rsid w:val="00B73748"/>
    <w:rsid w:val="00B73CAD"/>
    <w:rsid w:val="00B775EF"/>
    <w:rsid w:val="00B801FB"/>
    <w:rsid w:val="00B8100C"/>
    <w:rsid w:val="00B812A8"/>
    <w:rsid w:val="00B8183E"/>
    <w:rsid w:val="00B825F1"/>
    <w:rsid w:val="00B829B6"/>
    <w:rsid w:val="00B84639"/>
    <w:rsid w:val="00B84724"/>
    <w:rsid w:val="00B848FB"/>
    <w:rsid w:val="00B8612D"/>
    <w:rsid w:val="00B864A7"/>
    <w:rsid w:val="00B929AE"/>
    <w:rsid w:val="00B94DE8"/>
    <w:rsid w:val="00B94E9C"/>
    <w:rsid w:val="00BA0D3C"/>
    <w:rsid w:val="00BA1213"/>
    <w:rsid w:val="00BA1233"/>
    <w:rsid w:val="00BA17E3"/>
    <w:rsid w:val="00BA27D6"/>
    <w:rsid w:val="00BA3182"/>
    <w:rsid w:val="00BA3E4E"/>
    <w:rsid w:val="00BA4B77"/>
    <w:rsid w:val="00BA5971"/>
    <w:rsid w:val="00BA68F5"/>
    <w:rsid w:val="00BA6DF2"/>
    <w:rsid w:val="00BB101D"/>
    <w:rsid w:val="00BB1A72"/>
    <w:rsid w:val="00BB60B8"/>
    <w:rsid w:val="00BB689C"/>
    <w:rsid w:val="00BC184C"/>
    <w:rsid w:val="00BC3786"/>
    <w:rsid w:val="00BC474E"/>
    <w:rsid w:val="00BC63EC"/>
    <w:rsid w:val="00BC6560"/>
    <w:rsid w:val="00BC6792"/>
    <w:rsid w:val="00BC7A16"/>
    <w:rsid w:val="00BD0E81"/>
    <w:rsid w:val="00BD1C46"/>
    <w:rsid w:val="00BD5522"/>
    <w:rsid w:val="00BD56D6"/>
    <w:rsid w:val="00BD5D3A"/>
    <w:rsid w:val="00BD6527"/>
    <w:rsid w:val="00BD70CE"/>
    <w:rsid w:val="00BE045D"/>
    <w:rsid w:val="00BE06FA"/>
    <w:rsid w:val="00BE3368"/>
    <w:rsid w:val="00BE3B34"/>
    <w:rsid w:val="00BE3CCA"/>
    <w:rsid w:val="00BF13BD"/>
    <w:rsid w:val="00BF2316"/>
    <w:rsid w:val="00BF24A4"/>
    <w:rsid w:val="00BF52DB"/>
    <w:rsid w:val="00BF56D7"/>
    <w:rsid w:val="00BF56E4"/>
    <w:rsid w:val="00C01F48"/>
    <w:rsid w:val="00C02C85"/>
    <w:rsid w:val="00C0490E"/>
    <w:rsid w:val="00C11124"/>
    <w:rsid w:val="00C12D58"/>
    <w:rsid w:val="00C132D2"/>
    <w:rsid w:val="00C13331"/>
    <w:rsid w:val="00C133BB"/>
    <w:rsid w:val="00C1439B"/>
    <w:rsid w:val="00C1444D"/>
    <w:rsid w:val="00C17E1C"/>
    <w:rsid w:val="00C220ED"/>
    <w:rsid w:val="00C24D0F"/>
    <w:rsid w:val="00C26093"/>
    <w:rsid w:val="00C273BC"/>
    <w:rsid w:val="00C32F9E"/>
    <w:rsid w:val="00C336C8"/>
    <w:rsid w:val="00C33D73"/>
    <w:rsid w:val="00C34E89"/>
    <w:rsid w:val="00C35012"/>
    <w:rsid w:val="00C4072F"/>
    <w:rsid w:val="00C44218"/>
    <w:rsid w:val="00C452EE"/>
    <w:rsid w:val="00C457DC"/>
    <w:rsid w:val="00C47E7C"/>
    <w:rsid w:val="00C51895"/>
    <w:rsid w:val="00C52E14"/>
    <w:rsid w:val="00C546A9"/>
    <w:rsid w:val="00C54C3C"/>
    <w:rsid w:val="00C60449"/>
    <w:rsid w:val="00C61E93"/>
    <w:rsid w:val="00C64005"/>
    <w:rsid w:val="00C648BE"/>
    <w:rsid w:val="00C70634"/>
    <w:rsid w:val="00C70CEA"/>
    <w:rsid w:val="00C7381B"/>
    <w:rsid w:val="00C741E2"/>
    <w:rsid w:val="00C742EF"/>
    <w:rsid w:val="00C75B4C"/>
    <w:rsid w:val="00C75C21"/>
    <w:rsid w:val="00C76704"/>
    <w:rsid w:val="00C8170D"/>
    <w:rsid w:val="00C9120D"/>
    <w:rsid w:val="00C92165"/>
    <w:rsid w:val="00C925EB"/>
    <w:rsid w:val="00C92895"/>
    <w:rsid w:val="00C92ED8"/>
    <w:rsid w:val="00C940B0"/>
    <w:rsid w:val="00C967AC"/>
    <w:rsid w:val="00C96945"/>
    <w:rsid w:val="00C96CBF"/>
    <w:rsid w:val="00CA1EA3"/>
    <w:rsid w:val="00CA20D1"/>
    <w:rsid w:val="00CA2355"/>
    <w:rsid w:val="00CA2AFA"/>
    <w:rsid w:val="00CA3103"/>
    <w:rsid w:val="00CA3EB4"/>
    <w:rsid w:val="00CA5667"/>
    <w:rsid w:val="00CA6AEF"/>
    <w:rsid w:val="00CA6F29"/>
    <w:rsid w:val="00CA7D09"/>
    <w:rsid w:val="00CB3CB7"/>
    <w:rsid w:val="00CB503F"/>
    <w:rsid w:val="00CB65E6"/>
    <w:rsid w:val="00CB7763"/>
    <w:rsid w:val="00CB797B"/>
    <w:rsid w:val="00CC115A"/>
    <w:rsid w:val="00CC2B61"/>
    <w:rsid w:val="00CC3A62"/>
    <w:rsid w:val="00CC472F"/>
    <w:rsid w:val="00CC4AAE"/>
    <w:rsid w:val="00CC58A0"/>
    <w:rsid w:val="00CD2193"/>
    <w:rsid w:val="00CD2493"/>
    <w:rsid w:val="00CD353A"/>
    <w:rsid w:val="00CD3B5C"/>
    <w:rsid w:val="00CD3BD4"/>
    <w:rsid w:val="00CD3D9A"/>
    <w:rsid w:val="00CD4E4C"/>
    <w:rsid w:val="00CD4FE2"/>
    <w:rsid w:val="00CD5608"/>
    <w:rsid w:val="00CE09C0"/>
    <w:rsid w:val="00CE194B"/>
    <w:rsid w:val="00CE24E2"/>
    <w:rsid w:val="00CE3EB3"/>
    <w:rsid w:val="00CE42C1"/>
    <w:rsid w:val="00CE55BB"/>
    <w:rsid w:val="00CF1D53"/>
    <w:rsid w:val="00CF3A6C"/>
    <w:rsid w:val="00CF437B"/>
    <w:rsid w:val="00CF4B00"/>
    <w:rsid w:val="00D01525"/>
    <w:rsid w:val="00D01832"/>
    <w:rsid w:val="00D02B48"/>
    <w:rsid w:val="00D02FB2"/>
    <w:rsid w:val="00D04886"/>
    <w:rsid w:val="00D04A83"/>
    <w:rsid w:val="00D059B3"/>
    <w:rsid w:val="00D060C1"/>
    <w:rsid w:val="00D127CF"/>
    <w:rsid w:val="00D12F7D"/>
    <w:rsid w:val="00D16964"/>
    <w:rsid w:val="00D16B85"/>
    <w:rsid w:val="00D214E3"/>
    <w:rsid w:val="00D215F1"/>
    <w:rsid w:val="00D23F5E"/>
    <w:rsid w:val="00D26D4B"/>
    <w:rsid w:val="00D2777D"/>
    <w:rsid w:val="00D320D9"/>
    <w:rsid w:val="00D33A99"/>
    <w:rsid w:val="00D34CEE"/>
    <w:rsid w:val="00D409E9"/>
    <w:rsid w:val="00D42A73"/>
    <w:rsid w:val="00D443D8"/>
    <w:rsid w:val="00D44A42"/>
    <w:rsid w:val="00D4726E"/>
    <w:rsid w:val="00D528B3"/>
    <w:rsid w:val="00D5389C"/>
    <w:rsid w:val="00D54CD6"/>
    <w:rsid w:val="00D55076"/>
    <w:rsid w:val="00D561CF"/>
    <w:rsid w:val="00D56764"/>
    <w:rsid w:val="00D603F9"/>
    <w:rsid w:val="00D61E92"/>
    <w:rsid w:val="00D65C89"/>
    <w:rsid w:val="00D664A3"/>
    <w:rsid w:val="00D70E07"/>
    <w:rsid w:val="00D737CE"/>
    <w:rsid w:val="00D77738"/>
    <w:rsid w:val="00D81751"/>
    <w:rsid w:val="00D82F11"/>
    <w:rsid w:val="00D84460"/>
    <w:rsid w:val="00D84AD4"/>
    <w:rsid w:val="00D862A3"/>
    <w:rsid w:val="00D86F0F"/>
    <w:rsid w:val="00D870BD"/>
    <w:rsid w:val="00D905C0"/>
    <w:rsid w:val="00D91F05"/>
    <w:rsid w:val="00D92201"/>
    <w:rsid w:val="00D92BCC"/>
    <w:rsid w:val="00D932C6"/>
    <w:rsid w:val="00D93BC9"/>
    <w:rsid w:val="00D93ECC"/>
    <w:rsid w:val="00D95149"/>
    <w:rsid w:val="00D954D4"/>
    <w:rsid w:val="00D9708B"/>
    <w:rsid w:val="00D976CB"/>
    <w:rsid w:val="00DA09D0"/>
    <w:rsid w:val="00DA0B45"/>
    <w:rsid w:val="00DA40A7"/>
    <w:rsid w:val="00DA46F1"/>
    <w:rsid w:val="00DA48A4"/>
    <w:rsid w:val="00DA5C67"/>
    <w:rsid w:val="00DA7838"/>
    <w:rsid w:val="00DB13BB"/>
    <w:rsid w:val="00DB4496"/>
    <w:rsid w:val="00DB4665"/>
    <w:rsid w:val="00DB4EC2"/>
    <w:rsid w:val="00DB5BD0"/>
    <w:rsid w:val="00DC14F5"/>
    <w:rsid w:val="00DC43CE"/>
    <w:rsid w:val="00DC5095"/>
    <w:rsid w:val="00DC534B"/>
    <w:rsid w:val="00DC7048"/>
    <w:rsid w:val="00DD0601"/>
    <w:rsid w:val="00DD240A"/>
    <w:rsid w:val="00DD41FA"/>
    <w:rsid w:val="00DD7C86"/>
    <w:rsid w:val="00DE221B"/>
    <w:rsid w:val="00DE7E03"/>
    <w:rsid w:val="00DF1664"/>
    <w:rsid w:val="00DF4670"/>
    <w:rsid w:val="00DF63DA"/>
    <w:rsid w:val="00DF69CD"/>
    <w:rsid w:val="00DF6AFF"/>
    <w:rsid w:val="00E00647"/>
    <w:rsid w:val="00E04A40"/>
    <w:rsid w:val="00E06E1A"/>
    <w:rsid w:val="00E07F74"/>
    <w:rsid w:val="00E10485"/>
    <w:rsid w:val="00E11E0B"/>
    <w:rsid w:val="00E12614"/>
    <w:rsid w:val="00E13FCA"/>
    <w:rsid w:val="00E167B3"/>
    <w:rsid w:val="00E170D3"/>
    <w:rsid w:val="00E2079C"/>
    <w:rsid w:val="00E21957"/>
    <w:rsid w:val="00E21D5B"/>
    <w:rsid w:val="00E2475F"/>
    <w:rsid w:val="00E30099"/>
    <w:rsid w:val="00E30F92"/>
    <w:rsid w:val="00E311FC"/>
    <w:rsid w:val="00E314D0"/>
    <w:rsid w:val="00E343F1"/>
    <w:rsid w:val="00E35670"/>
    <w:rsid w:val="00E356F1"/>
    <w:rsid w:val="00E35FD5"/>
    <w:rsid w:val="00E40344"/>
    <w:rsid w:val="00E4115C"/>
    <w:rsid w:val="00E45E1A"/>
    <w:rsid w:val="00E462A9"/>
    <w:rsid w:val="00E465E5"/>
    <w:rsid w:val="00E50658"/>
    <w:rsid w:val="00E5228D"/>
    <w:rsid w:val="00E540A9"/>
    <w:rsid w:val="00E548F8"/>
    <w:rsid w:val="00E55E05"/>
    <w:rsid w:val="00E56088"/>
    <w:rsid w:val="00E609EF"/>
    <w:rsid w:val="00E6217F"/>
    <w:rsid w:val="00E6234A"/>
    <w:rsid w:val="00E627B1"/>
    <w:rsid w:val="00E65207"/>
    <w:rsid w:val="00E67E8A"/>
    <w:rsid w:val="00E766F0"/>
    <w:rsid w:val="00E80866"/>
    <w:rsid w:val="00E81C13"/>
    <w:rsid w:val="00E82C07"/>
    <w:rsid w:val="00E82CCF"/>
    <w:rsid w:val="00E83B21"/>
    <w:rsid w:val="00E83DD7"/>
    <w:rsid w:val="00E84503"/>
    <w:rsid w:val="00E857EE"/>
    <w:rsid w:val="00E9061F"/>
    <w:rsid w:val="00E90A93"/>
    <w:rsid w:val="00E963F0"/>
    <w:rsid w:val="00E976A6"/>
    <w:rsid w:val="00E97779"/>
    <w:rsid w:val="00EA16BB"/>
    <w:rsid w:val="00EA5AFC"/>
    <w:rsid w:val="00EA6AA8"/>
    <w:rsid w:val="00EB40B0"/>
    <w:rsid w:val="00EB5F7E"/>
    <w:rsid w:val="00EB7A9B"/>
    <w:rsid w:val="00EC2230"/>
    <w:rsid w:val="00EC2C71"/>
    <w:rsid w:val="00EC742C"/>
    <w:rsid w:val="00EC769F"/>
    <w:rsid w:val="00ED0693"/>
    <w:rsid w:val="00ED226A"/>
    <w:rsid w:val="00ED2671"/>
    <w:rsid w:val="00ED494F"/>
    <w:rsid w:val="00ED52A9"/>
    <w:rsid w:val="00ED6D00"/>
    <w:rsid w:val="00ED7C5D"/>
    <w:rsid w:val="00EE228E"/>
    <w:rsid w:val="00EE2B00"/>
    <w:rsid w:val="00EE476E"/>
    <w:rsid w:val="00EE6CD7"/>
    <w:rsid w:val="00EF3CEB"/>
    <w:rsid w:val="00EF3ECF"/>
    <w:rsid w:val="00EF5109"/>
    <w:rsid w:val="00EF55CB"/>
    <w:rsid w:val="00EF7A55"/>
    <w:rsid w:val="00F00D99"/>
    <w:rsid w:val="00F01B49"/>
    <w:rsid w:val="00F01C4D"/>
    <w:rsid w:val="00F03894"/>
    <w:rsid w:val="00F0415E"/>
    <w:rsid w:val="00F10679"/>
    <w:rsid w:val="00F119EA"/>
    <w:rsid w:val="00F11E50"/>
    <w:rsid w:val="00F1270B"/>
    <w:rsid w:val="00F14F87"/>
    <w:rsid w:val="00F152FD"/>
    <w:rsid w:val="00F15DA8"/>
    <w:rsid w:val="00F169CD"/>
    <w:rsid w:val="00F17E8B"/>
    <w:rsid w:val="00F21137"/>
    <w:rsid w:val="00F212FA"/>
    <w:rsid w:val="00F21391"/>
    <w:rsid w:val="00F216F0"/>
    <w:rsid w:val="00F21E81"/>
    <w:rsid w:val="00F23372"/>
    <w:rsid w:val="00F25E41"/>
    <w:rsid w:val="00F26E8D"/>
    <w:rsid w:val="00F26F88"/>
    <w:rsid w:val="00F26F8C"/>
    <w:rsid w:val="00F3134E"/>
    <w:rsid w:val="00F313AC"/>
    <w:rsid w:val="00F35D13"/>
    <w:rsid w:val="00F36BFF"/>
    <w:rsid w:val="00F40BB4"/>
    <w:rsid w:val="00F41177"/>
    <w:rsid w:val="00F4258B"/>
    <w:rsid w:val="00F53BC1"/>
    <w:rsid w:val="00F558E4"/>
    <w:rsid w:val="00F55F7F"/>
    <w:rsid w:val="00F56E82"/>
    <w:rsid w:val="00F57D48"/>
    <w:rsid w:val="00F621D2"/>
    <w:rsid w:val="00F64023"/>
    <w:rsid w:val="00F65E5E"/>
    <w:rsid w:val="00F70DC3"/>
    <w:rsid w:val="00F715F6"/>
    <w:rsid w:val="00F718E5"/>
    <w:rsid w:val="00F72470"/>
    <w:rsid w:val="00F726CC"/>
    <w:rsid w:val="00F736D8"/>
    <w:rsid w:val="00F73E38"/>
    <w:rsid w:val="00F76CC8"/>
    <w:rsid w:val="00F776E9"/>
    <w:rsid w:val="00F82282"/>
    <w:rsid w:val="00F841DA"/>
    <w:rsid w:val="00F84A89"/>
    <w:rsid w:val="00F85310"/>
    <w:rsid w:val="00F85D12"/>
    <w:rsid w:val="00F8651E"/>
    <w:rsid w:val="00F87CF1"/>
    <w:rsid w:val="00F936E6"/>
    <w:rsid w:val="00F94FFF"/>
    <w:rsid w:val="00FA177E"/>
    <w:rsid w:val="00FA312B"/>
    <w:rsid w:val="00FA3BB1"/>
    <w:rsid w:val="00FA42CB"/>
    <w:rsid w:val="00FA46C8"/>
    <w:rsid w:val="00FA53DB"/>
    <w:rsid w:val="00FA5E5A"/>
    <w:rsid w:val="00FA78FE"/>
    <w:rsid w:val="00FB11B4"/>
    <w:rsid w:val="00FB13B8"/>
    <w:rsid w:val="00FB1E66"/>
    <w:rsid w:val="00FB425F"/>
    <w:rsid w:val="00FB5458"/>
    <w:rsid w:val="00FB66CF"/>
    <w:rsid w:val="00FC003F"/>
    <w:rsid w:val="00FC1E41"/>
    <w:rsid w:val="00FC229B"/>
    <w:rsid w:val="00FC631D"/>
    <w:rsid w:val="00FC69C8"/>
    <w:rsid w:val="00FE09D8"/>
    <w:rsid w:val="00FE297B"/>
    <w:rsid w:val="00FE2BFC"/>
    <w:rsid w:val="00FE5DC6"/>
    <w:rsid w:val="00FE5FF1"/>
    <w:rsid w:val="00FE72E0"/>
    <w:rsid w:val="00FE76D9"/>
    <w:rsid w:val="00FF01DC"/>
    <w:rsid w:val="00FF1CD8"/>
    <w:rsid w:val="00FF4F3C"/>
    <w:rsid w:val="00FF56AC"/>
    <w:rsid w:val="00FF7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63548"/>
  <w15:chartTrackingRefBased/>
  <w15:docId w15:val="{1A194249-20DB-4345-9F11-BF0B4D6C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Calibri" w:hAnsi="Book Antiqu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B4"/>
    <w:rPr>
      <w:b/>
      <w:sz w:val="24"/>
    </w:rPr>
  </w:style>
  <w:style w:type="paragraph" w:styleId="Heading1">
    <w:name w:val="heading 1"/>
    <w:basedOn w:val="Normal"/>
    <w:next w:val="Normal"/>
    <w:link w:val="Heading1Char"/>
    <w:uiPriority w:val="9"/>
    <w:qFormat/>
    <w:rsid w:val="00C92ED8"/>
    <w:pPr>
      <w:keepNext/>
      <w:spacing w:before="240" w:after="60"/>
      <w:outlineLvl w:val="0"/>
    </w:pPr>
    <w:rPr>
      <w:rFonts w:ascii="Calibri Light" w:eastAsia="Times New Roman" w:hAnsi="Calibri Light"/>
      <w:bCs/>
      <w:kern w:val="32"/>
      <w:sz w:val="32"/>
      <w:szCs w:val="32"/>
    </w:rPr>
  </w:style>
  <w:style w:type="paragraph" w:styleId="Heading2">
    <w:name w:val="heading 2"/>
    <w:basedOn w:val="Normal"/>
    <w:next w:val="Normal"/>
    <w:link w:val="Heading2Char"/>
    <w:uiPriority w:val="9"/>
    <w:semiHidden/>
    <w:unhideWhenUsed/>
    <w:qFormat/>
    <w:rsid w:val="00572F99"/>
    <w:pPr>
      <w:keepNext/>
      <w:spacing w:before="240" w:after="60"/>
      <w:outlineLvl w:val="1"/>
    </w:pPr>
    <w:rPr>
      <w:rFonts w:ascii="Calibri Light" w:eastAsia="Times New Roman" w:hAnsi="Calibri Light"/>
      <w:bCs/>
      <w:i/>
      <w:iCs/>
      <w:sz w:val="28"/>
      <w:szCs w:val="28"/>
    </w:rPr>
  </w:style>
  <w:style w:type="paragraph" w:styleId="Heading4">
    <w:name w:val="heading 4"/>
    <w:basedOn w:val="Normal"/>
    <w:next w:val="Normal"/>
    <w:link w:val="Heading4Char"/>
    <w:qFormat/>
    <w:rsid w:val="00BA27D6"/>
    <w:pPr>
      <w:keepNext/>
      <w:jc w:val="both"/>
      <w:outlineLvl w:val="3"/>
    </w:pPr>
    <w:rPr>
      <w:rFonts w:eastAsia="Times New Roman"/>
      <w:b w:val="0"/>
      <w:i/>
      <w:sz w:val="2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255B"/>
    <w:rPr>
      <w:b/>
      <w:sz w:val="24"/>
    </w:rPr>
  </w:style>
  <w:style w:type="character" w:customStyle="1" w:styleId="Heading4Char">
    <w:name w:val="Heading 4 Char"/>
    <w:link w:val="Heading4"/>
    <w:rsid w:val="00BA27D6"/>
    <w:rPr>
      <w:rFonts w:eastAsia="Times New Roman"/>
      <w:i/>
      <w:szCs w:val="24"/>
      <w:lang w:eastAsia="en-US"/>
    </w:rPr>
  </w:style>
  <w:style w:type="paragraph" w:styleId="ListParagraph">
    <w:name w:val="List Paragraph"/>
    <w:basedOn w:val="Normal"/>
    <w:uiPriority w:val="34"/>
    <w:qFormat/>
    <w:rsid w:val="00BA27D6"/>
    <w:pPr>
      <w:ind w:left="720"/>
    </w:pPr>
  </w:style>
  <w:style w:type="paragraph" w:styleId="Header">
    <w:name w:val="header"/>
    <w:basedOn w:val="Normal"/>
    <w:link w:val="HeaderChar"/>
    <w:uiPriority w:val="99"/>
    <w:unhideWhenUsed/>
    <w:rsid w:val="00934365"/>
    <w:pPr>
      <w:tabs>
        <w:tab w:val="center" w:pos="4513"/>
        <w:tab w:val="right" w:pos="9026"/>
      </w:tabs>
    </w:pPr>
  </w:style>
  <w:style w:type="character" w:customStyle="1" w:styleId="HeaderChar">
    <w:name w:val="Header Char"/>
    <w:link w:val="Header"/>
    <w:uiPriority w:val="99"/>
    <w:rsid w:val="00934365"/>
    <w:rPr>
      <w:b/>
      <w:sz w:val="24"/>
    </w:rPr>
  </w:style>
  <w:style w:type="paragraph" w:styleId="Footer">
    <w:name w:val="footer"/>
    <w:basedOn w:val="Normal"/>
    <w:link w:val="FooterChar"/>
    <w:uiPriority w:val="99"/>
    <w:unhideWhenUsed/>
    <w:rsid w:val="00934365"/>
    <w:pPr>
      <w:tabs>
        <w:tab w:val="center" w:pos="4513"/>
        <w:tab w:val="right" w:pos="9026"/>
      </w:tabs>
    </w:pPr>
  </w:style>
  <w:style w:type="character" w:customStyle="1" w:styleId="FooterChar">
    <w:name w:val="Footer Char"/>
    <w:link w:val="Footer"/>
    <w:uiPriority w:val="99"/>
    <w:rsid w:val="00934365"/>
    <w:rPr>
      <w:b/>
      <w:sz w:val="24"/>
    </w:rPr>
  </w:style>
  <w:style w:type="character" w:styleId="CommentReference">
    <w:name w:val="annotation reference"/>
    <w:uiPriority w:val="99"/>
    <w:semiHidden/>
    <w:unhideWhenUsed/>
    <w:rsid w:val="00DA40A7"/>
    <w:rPr>
      <w:sz w:val="16"/>
      <w:szCs w:val="16"/>
    </w:rPr>
  </w:style>
  <w:style w:type="paragraph" w:styleId="CommentText">
    <w:name w:val="annotation text"/>
    <w:basedOn w:val="Normal"/>
    <w:link w:val="CommentTextChar"/>
    <w:uiPriority w:val="99"/>
    <w:unhideWhenUsed/>
    <w:rsid w:val="00DA40A7"/>
    <w:rPr>
      <w:sz w:val="20"/>
    </w:rPr>
  </w:style>
  <w:style w:type="character" w:customStyle="1" w:styleId="CommentTextChar">
    <w:name w:val="Comment Text Char"/>
    <w:link w:val="CommentText"/>
    <w:uiPriority w:val="99"/>
    <w:rsid w:val="00DA40A7"/>
    <w:rPr>
      <w:b/>
    </w:rPr>
  </w:style>
  <w:style w:type="paragraph" w:styleId="CommentSubject">
    <w:name w:val="annotation subject"/>
    <w:basedOn w:val="CommentText"/>
    <w:next w:val="CommentText"/>
    <w:link w:val="CommentSubjectChar"/>
    <w:uiPriority w:val="99"/>
    <w:semiHidden/>
    <w:unhideWhenUsed/>
    <w:rsid w:val="00DA40A7"/>
    <w:rPr>
      <w:bCs/>
    </w:rPr>
  </w:style>
  <w:style w:type="character" w:customStyle="1" w:styleId="CommentSubjectChar">
    <w:name w:val="Comment Subject Char"/>
    <w:link w:val="CommentSubject"/>
    <w:uiPriority w:val="99"/>
    <w:semiHidden/>
    <w:rsid w:val="00DA40A7"/>
    <w:rPr>
      <w:b/>
      <w:bCs/>
    </w:rPr>
  </w:style>
  <w:style w:type="paragraph" w:styleId="BalloonText">
    <w:name w:val="Balloon Text"/>
    <w:basedOn w:val="Normal"/>
    <w:link w:val="BalloonTextChar"/>
    <w:uiPriority w:val="99"/>
    <w:semiHidden/>
    <w:unhideWhenUsed/>
    <w:rsid w:val="00DA40A7"/>
    <w:rPr>
      <w:rFonts w:ascii="Segoe UI" w:hAnsi="Segoe UI" w:cs="Segoe UI"/>
      <w:sz w:val="18"/>
      <w:szCs w:val="18"/>
    </w:rPr>
  </w:style>
  <w:style w:type="character" w:customStyle="1" w:styleId="BalloonTextChar">
    <w:name w:val="Balloon Text Char"/>
    <w:link w:val="BalloonText"/>
    <w:uiPriority w:val="99"/>
    <w:semiHidden/>
    <w:rsid w:val="00DA40A7"/>
    <w:rPr>
      <w:rFonts w:ascii="Segoe UI" w:hAnsi="Segoe UI" w:cs="Segoe UI"/>
      <w:b/>
      <w:sz w:val="18"/>
      <w:szCs w:val="18"/>
    </w:rPr>
  </w:style>
  <w:style w:type="paragraph" w:customStyle="1" w:styleId="legp1paratext">
    <w:name w:val="legp1paratext"/>
    <w:basedOn w:val="Normal"/>
    <w:rsid w:val="00DF1664"/>
    <w:pPr>
      <w:spacing w:before="100" w:beforeAutospacing="1" w:after="100" w:afterAutospacing="1"/>
    </w:pPr>
    <w:rPr>
      <w:rFonts w:ascii="Times New Roman" w:eastAsia="Times New Roman" w:hAnsi="Times New Roman"/>
      <w:b w:val="0"/>
      <w:szCs w:val="24"/>
    </w:rPr>
  </w:style>
  <w:style w:type="paragraph" w:customStyle="1" w:styleId="legclearfix">
    <w:name w:val="legclearfix"/>
    <w:basedOn w:val="Normal"/>
    <w:rsid w:val="00DF1664"/>
    <w:pPr>
      <w:spacing w:before="100" w:beforeAutospacing="1" w:after="100" w:afterAutospacing="1"/>
    </w:pPr>
    <w:rPr>
      <w:rFonts w:ascii="Times New Roman" w:eastAsia="Times New Roman" w:hAnsi="Times New Roman"/>
      <w:b w:val="0"/>
      <w:szCs w:val="24"/>
    </w:rPr>
  </w:style>
  <w:style w:type="character" w:customStyle="1" w:styleId="legds">
    <w:name w:val="legds"/>
    <w:rsid w:val="00DF1664"/>
  </w:style>
  <w:style w:type="paragraph" w:customStyle="1" w:styleId="legp2paratext">
    <w:name w:val="legp2paratext"/>
    <w:basedOn w:val="Normal"/>
    <w:rsid w:val="00DF1664"/>
    <w:pPr>
      <w:spacing w:before="100" w:beforeAutospacing="1" w:after="100" w:afterAutospacing="1"/>
    </w:pPr>
    <w:rPr>
      <w:rFonts w:ascii="Times New Roman" w:eastAsia="Times New Roman" w:hAnsi="Times New Roman"/>
      <w:b w:val="0"/>
      <w:szCs w:val="24"/>
    </w:rPr>
  </w:style>
  <w:style w:type="character" w:customStyle="1" w:styleId="legmarginnoteref">
    <w:name w:val="legmarginnoteref"/>
    <w:rsid w:val="00DF1664"/>
  </w:style>
  <w:style w:type="character" w:customStyle="1" w:styleId="legchangedelimiter">
    <w:name w:val="legchangedelimiter"/>
    <w:rsid w:val="00DF1664"/>
  </w:style>
  <w:style w:type="character" w:styleId="Hyperlink">
    <w:name w:val="Hyperlink"/>
    <w:uiPriority w:val="99"/>
    <w:semiHidden/>
    <w:unhideWhenUsed/>
    <w:rsid w:val="00DF1664"/>
    <w:rPr>
      <w:color w:val="0000FF"/>
      <w:u w:val="single"/>
    </w:rPr>
  </w:style>
  <w:style w:type="character" w:customStyle="1" w:styleId="legaddition">
    <w:name w:val="legaddition"/>
    <w:rsid w:val="00DF1664"/>
  </w:style>
  <w:style w:type="paragraph" w:customStyle="1" w:styleId="leglisttextstandard">
    <w:name w:val="leglisttextstandard"/>
    <w:basedOn w:val="Normal"/>
    <w:rsid w:val="00DF1664"/>
    <w:pPr>
      <w:spacing w:before="100" w:beforeAutospacing="1" w:after="100" w:afterAutospacing="1"/>
    </w:pPr>
    <w:rPr>
      <w:rFonts w:ascii="Times New Roman" w:eastAsia="Times New Roman" w:hAnsi="Times New Roman"/>
      <w:b w:val="0"/>
      <w:szCs w:val="24"/>
    </w:rPr>
  </w:style>
  <w:style w:type="character" w:customStyle="1" w:styleId="legp1no">
    <w:name w:val="legp1no"/>
    <w:rsid w:val="00CB503F"/>
  </w:style>
  <w:style w:type="character" w:customStyle="1" w:styleId="FootnoteCharacters">
    <w:name w:val="Footnote Characters"/>
    <w:rsid w:val="00C546A9"/>
    <w:rPr>
      <w:vertAlign w:val="superscript"/>
    </w:rPr>
  </w:style>
  <w:style w:type="paragraph" w:styleId="FootnoteText">
    <w:name w:val="footnote text"/>
    <w:basedOn w:val="Normal"/>
    <w:link w:val="FootnoteTextChar"/>
    <w:rsid w:val="00C546A9"/>
    <w:pPr>
      <w:suppressLineNumbers/>
      <w:suppressAutoHyphens/>
      <w:ind w:left="339" w:hanging="339"/>
    </w:pPr>
    <w:rPr>
      <w:rFonts w:ascii="Liberation Serif" w:eastAsia="NSimSun" w:hAnsi="Liberation Serif" w:cs="Lucida Sans"/>
      <w:b w:val="0"/>
      <w:kern w:val="2"/>
      <w:sz w:val="20"/>
      <w:lang w:eastAsia="zh-CN" w:bidi="hi-IN"/>
    </w:rPr>
  </w:style>
  <w:style w:type="character" w:customStyle="1" w:styleId="FootnoteTextChar">
    <w:name w:val="Footnote Text Char"/>
    <w:link w:val="FootnoteText"/>
    <w:rsid w:val="00C546A9"/>
    <w:rPr>
      <w:rFonts w:ascii="Liberation Serif" w:eastAsia="NSimSun" w:hAnsi="Liberation Serif" w:cs="Lucida Sans"/>
      <w:kern w:val="2"/>
      <w:lang w:eastAsia="zh-CN" w:bidi="hi-IN"/>
    </w:rPr>
  </w:style>
  <w:style w:type="character" w:customStyle="1" w:styleId="Heading1Char">
    <w:name w:val="Heading 1 Char"/>
    <w:link w:val="Heading1"/>
    <w:uiPriority w:val="9"/>
    <w:rsid w:val="00C92ED8"/>
    <w:rPr>
      <w:rFonts w:ascii="Calibri Light" w:eastAsia="Times New Roman" w:hAnsi="Calibri Light" w:cs="Times New Roman"/>
      <w:b/>
      <w:bCs/>
      <w:kern w:val="32"/>
      <w:sz w:val="32"/>
      <w:szCs w:val="32"/>
    </w:rPr>
  </w:style>
  <w:style w:type="character" w:styleId="Emphasis">
    <w:name w:val="Emphasis"/>
    <w:uiPriority w:val="20"/>
    <w:qFormat/>
    <w:rsid w:val="006516A9"/>
    <w:rPr>
      <w:i/>
      <w:iCs/>
    </w:rPr>
  </w:style>
  <w:style w:type="paragraph" w:customStyle="1" w:styleId="cite">
    <w:name w:val="cite"/>
    <w:basedOn w:val="Normal"/>
    <w:rsid w:val="00BA3E4E"/>
    <w:pPr>
      <w:spacing w:before="100" w:beforeAutospacing="1" w:after="100" w:afterAutospacing="1"/>
    </w:pPr>
    <w:rPr>
      <w:rFonts w:ascii="Times New Roman" w:eastAsia="Times New Roman" w:hAnsi="Times New Roman"/>
      <w:b w:val="0"/>
      <w:szCs w:val="24"/>
    </w:rPr>
  </w:style>
  <w:style w:type="character" w:customStyle="1" w:styleId="hit">
    <w:name w:val="hit"/>
    <w:rsid w:val="00BA3E4E"/>
  </w:style>
  <w:style w:type="paragraph" w:customStyle="1" w:styleId="courtname">
    <w:name w:val="courtname"/>
    <w:basedOn w:val="Normal"/>
    <w:rsid w:val="00BA3E4E"/>
    <w:pPr>
      <w:spacing w:before="100" w:beforeAutospacing="1" w:after="100" w:afterAutospacing="1"/>
    </w:pPr>
    <w:rPr>
      <w:rFonts w:ascii="Times New Roman" w:eastAsia="Times New Roman" w:hAnsi="Times New Roman"/>
      <w:b w:val="0"/>
      <w:szCs w:val="24"/>
    </w:rPr>
  </w:style>
  <w:style w:type="character" w:styleId="FootnoteReference">
    <w:name w:val="footnote reference"/>
    <w:uiPriority w:val="99"/>
    <w:semiHidden/>
    <w:unhideWhenUsed/>
    <w:rsid w:val="00FA42CB"/>
    <w:rPr>
      <w:vertAlign w:val="superscript"/>
    </w:rPr>
  </w:style>
  <w:style w:type="paragraph" w:styleId="NormalWeb">
    <w:name w:val="Normal (Web)"/>
    <w:basedOn w:val="Normal"/>
    <w:uiPriority w:val="99"/>
    <w:unhideWhenUsed/>
    <w:rsid w:val="00D603F9"/>
    <w:pPr>
      <w:spacing w:before="100" w:beforeAutospacing="1" w:after="100" w:afterAutospacing="1"/>
    </w:pPr>
    <w:rPr>
      <w:rFonts w:ascii="Times New Roman" w:eastAsia="Times New Roman" w:hAnsi="Times New Roman"/>
      <w:b w:val="0"/>
      <w:szCs w:val="24"/>
    </w:rPr>
  </w:style>
  <w:style w:type="character" w:customStyle="1" w:styleId="Heading2Char">
    <w:name w:val="Heading 2 Char"/>
    <w:link w:val="Heading2"/>
    <w:uiPriority w:val="9"/>
    <w:semiHidden/>
    <w:rsid w:val="00572F99"/>
    <w:rPr>
      <w:rFonts w:ascii="Calibri Light" w:eastAsia="Times New Roman" w:hAnsi="Calibri Light" w:cs="Times New Roman"/>
      <w:b/>
      <w:bCs/>
      <w:i/>
      <w:iCs/>
      <w:sz w:val="28"/>
      <w:szCs w:val="28"/>
    </w:rPr>
  </w:style>
  <w:style w:type="paragraph" w:customStyle="1" w:styleId="nodesummary">
    <w:name w:val="nodesummary"/>
    <w:basedOn w:val="Normal"/>
    <w:rsid w:val="00572F99"/>
    <w:pPr>
      <w:spacing w:before="100" w:beforeAutospacing="1" w:after="100" w:afterAutospacing="1"/>
    </w:pPr>
    <w:rPr>
      <w:rFonts w:ascii="Times New Roman" w:eastAsia="Times New Roman" w:hAnsi="Times New Roman"/>
      <w:b w:val="0"/>
      <w:szCs w:val="24"/>
    </w:rPr>
  </w:style>
  <w:style w:type="table" w:styleId="TableGrid">
    <w:name w:val="Table Grid"/>
    <w:basedOn w:val="TableNormal"/>
    <w:uiPriority w:val="59"/>
    <w:rsid w:val="00AD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1436A"/>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7398">
      <w:bodyDiv w:val="1"/>
      <w:marLeft w:val="0"/>
      <w:marRight w:val="0"/>
      <w:marTop w:val="0"/>
      <w:marBottom w:val="0"/>
      <w:divBdr>
        <w:top w:val="none" w:sz="0" w:space="0" w:color="auto"/>
        <w:left w:val="none" w:sz="0" w:space="0" w:color="auto"/>
        <w:bottom w:val="none" w:sz="0" w:space="0" w:color="auto"/>
        <w:right w:val="none" w:sz="0" w:space="0" w:color="auto"/>
      </w:divBdr>
    </w:div>
    <w:div w:id="14427470">
      <w:bodyDiv w:val="1"/>
      <w:marLeft w:val="0"/>
      <w:marRight w:val="0"/>
      <w:marTop w:val="0"/>
      <w:marBottom w:val="0"/>
      <w:divBdr>
        <w:top w:val="none" w:sz="0" w:space="0" w:color="auto"/>
        <w:left w:val="none" w:sz="0" w:space="0" w:color="auto"/>
        <w:bottom w:val="none" w:sz="0" w:space="0" w:color="auto"/>
        <w:right w:val="none" w:sz="0" w:space="0" w:color="auto"/>
      </w:divBdr>
    </w:div>
    <w:div w:id="38939306">
      <w:bodyDiv w:val="1"/>
      <w:marLeft w:val="0"/>
      <w:marRight w:val="0"/>
      <w:marTop w:val="0"/>
      <w:marBottom w:val="0"/>
      <w:divBdr>
        <w:top w:val="none" w:sz="0" w:space="0" w:color="auto"/>
        <w:left w:val="none" w:sz="0" w:space="0" w:color="auto"/>
        <w:bottom w:val="none" w:sz="0" w:space="0" w:color="auto"/>
        <w:right w:val="none" w:sz="0" w:space="0" w:color="auto"/>
      </w:divBdr>
    </w:div>
    <w:div w:id="51658985">
      <w:bodyDiv w:val="1"/>
      <w:marLeft w:val="0"/>
      <w:marRight w:val="0"/>
      <w:marTop w:val="0"/>
      <w:marBottom w:val="0"/>
      <w:divBdr>
        <w:top w:val="none" w:sz="0" w:space="0" w:color="auto"/>
        <w:left w:val="none" w:sz="0" w:space="0" w:color="auto"/>
        <w:bottom w:val="none" w:sz="0" w:space="0" w:color="auto"/>
        <w:right w:val="none" w:sz="0" w:space="0" w:color="auto"/>
      </w:divBdr>
    </w:div>
    <w:div w:id="54546646">
      <w:bodyDiv w:val="1"/>
      <w:marLeft w:val="0"/>
      <w:marRight w:val="0"/>
      <w:marTop w:val="0"/>
      <w:marBottom w:val="0"/>
      <w:divBdr>
        <w:top w:val="none" w:sz="0" w:space="0" w:color="auto"/>
        <w:left w:val="none" w:sz="0" w:space="0" w:color="auto"/>
        <w:bottom w:val="none" w:sz="0" w:space="0" w:color="auto"/>
        <w:right w:val="none" w:sz="0" w:space="0" w:color="auto"/>
      </w:divBdr>
    </w:div>
    <w:div w:id="56325241">
      <w:bodyDiv w:val="1"/>
      <w:marLeft w:val="0"/>
      <w:marRight w:val="0"/>
      <w:marTop w:val="0"/>
      <w:marBottom w:val="0"/>
      <w:divBdr>
        <w:top w:val="none" w:sz="0" w:space="0" w:color="auto"/>
        <w:left w:val="none" w:sz="0" w:space="0" w:color="auto"/>
        <w:bottom w:val="none" w:sz="0" w:space="0" w:color="auto"/>
        <w:right w:val="none" w:sz="0" w:space="0" w:color="auto"/>
      </w:divBdr>
    </w:div>
    <w:div w:id="56367253">
      <w:bodyDiv w:val="1"/>
      <w:marLeft w:val="0"/>
      <w:marRight w:val="0"/>
      <w:marTop w:val="0"/>
      <w:marBottom w:val="0"/>
      <w:divBdr>
        <w:top w:val="none" w:sz="0" w:space="0" w:color="auto"/>
        <w:left w:val="none" w:sz="0" w:space="0" w:color="auto"/>
        <w:bottom w:val="none" w:sz="0" w:space="0" w:color="auto"/>
        <w:right w:val="none" w:sz="0" w:space="0" w:color="auto"/>
      </w:divBdr>
    </w:div>
    <w:div w:id="60567492">
      <w:bodyDiv w:val="1"/>
      <w:marLeft w:val="0"/>
      <w:marRight w:val="0"/>
      <w:marTop w:val="0"/>
      <w:marBottom w:val="0"/>
      <w:divBdr>
        <w:top w:val="none" w:sz="0" w:space="0" w:color="auto"/>
        <w:left w:val="none" w:sz="0" w:space="0" w:color="auto"/>
        <w:bottom w:val="none" w:sz="0" w:space="0" w:color="auto"/>
        <w:right w:val="none" w:sz="0" w:space="0" w:color="auto"/>
      </w:divBdr>
    </w:div>
    <w:div w:id="63919179">
      <w:bodyDiv w:val="1"/>
      <w:marLeft w:val="0"/>
      <w:marRight w:val="0"/>
      <w:marTop w:val="0"/>
      <w:marBottom w:val="0"/>
      <w:divBdr>
        <w:top w:val="none" w:sz="0" w:space="0" w:color="auto"/>
        <w:left w:val="none" w:sz="0" w:space="0" w:color="auto"/>
        <w:bottom w:val="none" w:sz="0" w:space="0" w:color="auto"/>
        <w:right w:val="none" w:sz="0" w:space="0" w:color="auto"/>
      </w:divBdr>
    </w:div>
    <w:div w:id="90666853">
      <w:bodyDiv w:val="1"/>
      <w:marLeft w:val="0"/>
      <w:marRight w:val="0"/>
      <w:marTop w:val="0"/>
      <w:marBottom w:val="0"/>
      <w:divBdr>
        <w:top w:val="none" w:sz="0" w:space="0" w:color="auto"/>
        <w:left w:val="none" w:sz="0" w:space="0" w:color="auto"/>
        <w:bottom w:val="none" w:sz="0" w:space="0" w:color="auto"/>
        <w:right w:val="none" w:sz="0" w:space="0" w:color="auto"/>
      </w:divBdr>
    </w:div>
    <w:div w:id="109057722">
      <w:bodyDiv w:val="1"/>
      <w:marLeft w:val="0"/>
      <w:marRight w:val="0"/>
      <w:marTop w:val="0"/>
      <w:marBottom w:val="0"/>
      <w:divBdr>
        <w:top w:val="none" w:sz="0" w:space="0" w:color="auto"/>
        <w:left w:val="none" w:sz="0" w:space="0" w:color="auto"/>
        <w:bottom w:val="none" w:sz="0" w:space="0" w:color="auto"/>
        <w:right w:val="none" w:sz="0" w:space="0" w:color="auto"/>
      </w:divBdr>
    </w:div>
    <w:div w:id="118840706">
      <w:bodyDiv w:val="1"/>
      <w:marLeft w:val="0"/>
      <w:marRight w:val="0"/>
      <w:marTop w:val="0"/>
      <w:marBottom w:val="0"/>
      <w:divBdr>
        <w:top w:val="none" w:sz="0" w:space="0" w:color="auto"/>
        <w:left w:val="none" w:sz="0" w:space="0" w:color="auto"/>
        <w:bottom w:val="none" w:sz="0" w:space="0" w:color="auto"/>
        <w:right w:val="none" w:sz="0" w:space="0" w:color="auto"/>
      </w:divBdr>
    </w:div>
    <w:div w:id="126706110">
      <w:bodyDiv w:val="1"/>
      <w:marLeft w:val="0"/>
      <w:marRight w:val="0"/>
      <w:marTop w:val="0"/>
      <w:marBottom w:val="0"/>
      <w:divBdr>
        <w:top w:val="none" w:sz="0" w:space="0" w:color="auto"/>
        <w:left w:val="none" w:sz="0" w:space="0" w:color="auto"/>
        <w:bottom w:val="none" w:sz="0" w:space="0" w:color="auto"/>
        <w:right w:val="none" w:sz="0" w:space="0" w:color="auto"/>
      </w:divBdr>
    </w:div>
    <w:div w:id="148403997">
      <w:bodyDiv w:val="1"/>
      <w:marLeft w:val="0"/>
      <w:marRight w:val="0"/>
      <w:marTop w:val="0"/>
      <w:marBottom w:val="0"/>
      <w:divBdr>
        <w:top w:val="none" w:sz="0" w:space="0" w:color="auto"/>
        <w:left w:val="none" w:sz="0" w:space="0" w:color="auto"/>
        <w:bottom w:val="none" w:sz="0" w:space="0" w:color="auto"/>
        <w:right w:val="none" w:sz="0" w:space="0" w:color="auto"/>
      </w:divBdr>
    </w:div>
    <w:div w:id="152986048">
      <w:bodyDiv w:val="1"/>
      <w:marLeft w:val="0"/>
      <w:marRight w:val="0"/>
      <w:marTop w:val="0"/>
      <w:marBottom w:val="0"/>
      <w:divBdr>
        <w:top w:val="none" w:sz="0" w:space="0" w:color="auto"/>
        <w:left w:val="none" w:sz="0" w:space="0" w:color="auto"/>
        <w:bottom w:val="none" w:sz="0" w:space="0" w:color="auto"/>
        <w:right w:val="none" w:sz="0" w:space="0" w:color="auto"/>
      </w:divBdr>
    </w:div>
    <w:div w:id="189727852">
      <w:bodyDiv w:val="1"/>
      <w:marLeft w:val="0"/>
      <w:marRight w:val="0"/>
      <w:marTop w:val="0"/>
      <w:marBottom w:val="0"/>
      <w:divBdr>
        <w:top w:val="none" w:sz="0" w:space="0" w:color="auto"/>
        <w:left w:val="none" w:sz="0" w:space="0" w:color="auto"/>
        <w:bottom w:val="none" w:sz="0" w:space="0" w:color="auto"/>
        <w:right w:val="none" w:sz="0" w:space="0" w:color="auto"/>
      </w:divBdr>
    </w:div>
    <w:div w:id="228074280">
      <w:bodyDiv w:val="1"/>
      <w:marLeft w:val="0"/>
      <w:marRight w:val="0"/>
      <w:marTop w:val="0"/>
      <w:marBottom w:val="0"/>
      <w:divBdr>
        <w:top w:val="none" w:sz="0" w:space="0" w:color="auto"/>
        <w:left w:val="none" w:sz="0" w:space="0" w:color="auto"/>
        <w:bottom w:val="none" w:sz="0" w:space="0" w:color="auto"/>
        <w:right w:val="none" w:sz="0" w:space="0" w:color="auto"/>
      </w:divBdr>
    </w:div>
    <w:div w:id="246696116">
      <w:bodyDiv w:val="1"/>
      <w:marLeft w:val="0"/>
      <w:marRight w:val="0"/>
      <w:marTop w:val="0"/>
      <w:marBottom w:val="0"/>
      <w:divBdr>
        <w:top w:val="none" w:sz="0" w:space="0" w:color="auto"/>
        <w:left w:val="none" w:sz="0" w:space="0" w:color="auto"/>
        <w:bottom w:val="none" w:sz="0" w:space="0" w:color="auto"/>
        <w:right w:val="none" w:sz="0" w:space="0" w:color="auto"/>
      </w:divBdr>
    </w:div>
    <w:div w:id="275137938">
      <w:bodyDiv w:val="1"/>
      <w:marLeft w:val="0"/>
      <w:marRight w:val="0"/>
      <w:marTop w:val="0"/>
      <w:marBottom w:val="0"/>
      <w:divBdr>
        <w:top w:val="none" w:sz="0" w:space="0" w:color="auto"/>
        <w:left w:val="none" w:sz="0" w:space="0" w:color="auto"/>
        <w:bottom w:val="none" w:sz="0" w:space="0" w:color="auto"/>
        <w:right w:val="none" w:sz="0" w:space="0" w:color="auto"/>
      </w:divBdr>
    </w:div>
    <w:div w:id="301008711">
      <w:bodyDiv w:val="1"/>
      <w:marLeft w:val="0"/>
      <w:marRight w:val="0"/>
      <w:marTop w:val="0"/>
      <w:marBottom w:val="0"/>
      <w:divBdr>
        <w:top w:val="none" w:sz="0" w:space="0" w:color="auto"/>
        <w:left w:val="none" w:sz="0" w:space="0" w:color="auto"/>
        <w:bottom w:val="none" w:sz="0" w:space="0" w:color="auto"/>
        <w:right w:val="none" w:sz="0" w:space="0" w:color="auto"/>
      </w:divBdr>
    </w:div>
    <w:div w:id="304357711">
      <w:bodyDiv w:val="1"/>
      <w:marLeft w:val="0"/>
      <w:marRight w:val="0"/>
      <w:marTop w:val="0"/>
      <w:marBottom w:val="0"/>
      <w:divBdr>
        <w:top w:val="none" w:sz="0" w:space="0" w:color="auto"/>
        <w:left w:val="none" w:sz="0" w:space="0" w:color="auto"/>
        <w:bottom w:val="none" w:sz="0" w:space="0" w:color="auto"/>
        <w:right w:val="none" w:sz="0" w:space="0" w:color="auto"/>
      </w:divBdr>
    </w:div>
    <w:div w:id="345056558">
      <w:bodyDiv w:val="1"/>
      <w:marLeft w:val="0"/>
      <w:marRight w:val="0"/>
      <w:marTop w:val="0"/>
      <w:marBottom w:val="0"/>
      <w:divBdr>
        <w:top w:val="none" w:sz="0" w:space="0" w:color="auto"/>
        <w:left w:val="none" w:sz="0" w:space="0" w:color="auto"/>
        <w:bottom w:val="none" w:sz="0" w:space="0" w:color="auto"/>
        <w:right w:val="none" w:sz="0" w:space="0" w:color="auto"/>
      </w:divBdr>
    </w:div>
    <w:div w:id="375466763">
      <w:bodyDiv w:val="1"/>
      <w:marLeft w:val="0"/>
      <w:marRight w:val="0"/>
      <w:marTop w:val="0"/>
      <w:marBottom w:val="0"/>
      <w:divBdr>
        <w:top w:val="none" w:sz="0" w:space="0" w:color="auto"/>
        <w:left w:val="none" w:sz="0" w:space="0" w:color="auto"/>
        <w:bottom w:val="none" w:sz="0" w:space="0" w:color="auto"/>
        <w:right w:val="none" w:sz="0" w:space="0" w:color="auto"/>
      </w:divBdr>
    </w:div>
    <w:div w:id="398329380">
      <w:bodyDiv w:val="1"/>
      <w:marLeft w:val="0"/>
      <w:marRight w:val="0"/>
      <w:marTop w:val="0"/>
      <w:marBottom w:val="0"/>
      <w:divBdr>
        <w:top w:val="none" w:sz="0" w:space="0" w:color="auto"/>
        <w:left w:val="none" w:sz="0" w:space="0" w:color="auto"/>
        <w:bottom w:val="none" w:sz="0" w:space="0" w:color="auto"/>
        <w:right w:val="none" w:sz="0" w:space="0" w:color="auto"/>
      </w:divBdr>
    </w:div>
    <w:div w:id="433131094">
      <w:bodyDiv w:val="1"/>
      <w:marLeft w:val="0"/>
      <w:marRight w:val="0"/>
      <w:marTop w:val="0"/>
      <w:marBottom w:val="0"/>
      <w:divBdr>
        <w:top w:val="none" w:sz="0" w:space="0" w:color="auto"/>
        <w:left w:val="none" w:sz="0" w:space="0" w:color="auto"/>
        <w:bottom w:val="none" w:sz="0" w:space="0" w:color="auto"/>
        <w:right w:val="none" w:sz="0" w:space="0" w:color="auto"/>
      </w:divBdr>
    </w:div>
    <w:div w:id="471170912">
      <w:bodyDiv w:val="1"/>
      <w:marLeft w:val="0"/>
      <w:marRight w:val="0"/>
      <w:marTop w:val="0"/>
      <w:marBottom w:val="0"/>
      <w:divBdr>
        <w:top w:val="none" w:sz="0" w:space="0" w:color="auto"/>
        <w:left w:val="none" w:sz="0" w:space="0" w:color="auto"/>
        <w:bottom w:val="none" w:sz="0" w:space="0" w:color="auto"/>
        <w:right w:val="none" w:sz="0" w:space="0" w:color="auto"/>
      </w:divBdr>
      <w:divsChild>
        <w:div w:id="1982423157">
          <w:marLeft w:val="0"/>
          <w:marRight w:val="0"/>
          <w:marTop w:val="0"/>
          <w:marBottom w:val="0"/>
          <w:divBdr>
            <w:top w:val="none" w:sz="0" w:space="0" w:color="auto"/>
            <w:left w:val="none" w:sz="0" w:space="0" w:color="auto"/>
            <w:bottom w:val="none" w:sz="0" w:space="0" w:color="auto"/>
            <w:right w:val="none" w:sz="0" w:space="0" w:color="auto"/>
          </w:divBdr>
          <w:divsChild>
            <w:div w:id="856191591">
              <w:marLeft w:val="405"/>
              <w:marRight w:val="0"/>
              <w:marTop w:val="0"/>
              <w:marBottom w:val="270"/>
              <w:divBdr>
                <w:top w:val="none" w:sz="0" w:space="0" w:color="auto"/>
                <w:left w:val="none" w:sz="0" w:space="0" w:color="auto"/>
                <w:bottom w:val="none" w:sz="0" w:space="0" w:color="auto"/>
                <w:right w:val="none" w:sz="0" w:space="0" w:color="auto"/>
              </w:divBdr>
            </w:div>
          </w:divsChild>
        </w:div>
      </w:divsChild>
    </w:div>
    <w:div w:id="520051976">
      <w:bodyDiv w:val="1"/>
      <w:marLeft w:val="0"/>
      <w:marRight w:val="0"/>
      <w:marTop w:val="0"/>
      <w:marBottom w:val="0"/>
      <w:divBdr>
        <w:top w:val="none" w:sz="0" w:space="0" w:color="auto"/>
        <w:left w:val="none" w:sz="0" w:space="0" w:color="auto"/>
        <w:bottom w:val="none" w:sz="0" w:space="0" w:color="auto"/>
        <w:right w:val="none" w:sz="0" w:space="0" w:color="auto"/>
      </w:divBdr>
    </w:div>
    <w:div w:id="522744905">
      <w:bodyDiv w:val="1"/>
      <w:marLeft w:val="0"/>
      <w:marRight w:val="0"/>
      <w:marTop w:val="0"/>
      <w:marBottom w:val="0"/>
      <w:divBdr>
        <w:top w:val="none" w:sz="0" w:space="0" w:color="auto"/>
        <w:left w:val="none" w:sz="0" w:space="0" w:color="auto"/>
        <w:bottom w:val="none" w:sz="0" w:space="0" w:color="auto"/>
        <w:right w:val="none" w:sz="0" w:space="0" w:color="auto"/>
      </w:divBdr>
    </w:div>
    <w:div w:id="538711833">
      <w:bodyDiv w:val="1"/>
      <w:marLeft w:val="0"/>
      <w:marRight w:val="0"/>
      <w:marTop w:val="0"/>
      <w:marBottom w:val="0"/>
      <w:divBdr>
        <w:top w:val="none" w:sz="0" w:space="0" w:color="auto"/>
        <w:left w:val="none" w:sz="0" w:space="0" w:color="auto"/>
        <w:bottom w:val="none" w:sz="0" w:space="0" w:color="auto"/>
        <w:right w:val="none" w:sz="0" w:space="0" w:color="auto"/>
      </w:divBdr>
    </w:div>
    <w:div w:id="574050894">
      <w:bodyDiv w:val="1"/>
      <w:marLeft w:val="0"/>
      <w:marRight w:val="0"/>
      <w:marTop w:val="0"/>
      <w:marBottom w:val="0"/>
      <w:divBdr>
        <w:top w:val="none" w:sz="0" w:space="0" w:color="auto"/>
        <w:left w:val="none" w:sz="0" w:space="0" w:color="auto"/>
        <w:bottom w:val="none" w:sz="0" w:space="0" w:color="auto"/>
        <w:right w:val="none" w:sz="0" w:space="0" w:color="auto"/>
      </w:divBdr>
    </w:div>
    <w:div w:id="610168109">
      <w:bodyDiv w:val="1"/>
      <w:marLeft w:val="0"/>
      <w:marRight w:val="0"/>
      <w:marTop w:val="0"/>
      <w:marBottom w:val="0"/>
      <w:divBdr>
        <w:top w:val="none" w:sz="0" w:space="0" w:color="auto"/>
        <w:left w:val="none" w:sz="0" w:space="0" w:color="auto"/>
        <w:bottom w:val="none" w:sz="0" w:space="0" w:color="auto"/>
        <w:right w:val="none" w:sz="0" w:space="0" w:color="auto"/>
      </w:divBdr>
    </w:div>
    <w:div w:id="630526203">
      <w:bodyDiv w:val="1"/>
      <w:marLeft w:val="0"/>
      <w:marRight w:val="0"/>
      <w:marTop w:val="0"/>
      <w:marBottom w:val="0"/>
      <w:divBdr>
        <w:top w:val="none" w:sz="0" w:space="0" w:color="auto"/>
        <w:left w:val="none" w:sz="0" w:space="0" w:color="auto"/>
        <w:bottom w:val="none" w:sz="0" w:space="0" w:color="auto"/>
        <w:right w:val="none" w:sz="0" w:space="0" w:color="auto"/>
      </w:divBdr>
    </w:div>
    <w:div w:id="666057311">
      <w:bodyDiv w:val="1"/>
      <w:marLeft w:val="0"/>
      <w:marRight w:val="0"/>
      <w:marTop w:val="0"/>
      <w:marBottom w:val="0"/>
      <w:divBdr>
        <w:top w:val="none" w:sz="0" w:space="0" w:color="auto"/>
        <w:left w:val="none" w:sz="0" w:space="0" w:color="auto"/>
        <w:bottom w:val="none" w:sz="0" w:space="0" w:color="auto"/>
        <w:right w:val="none" w:sz="0" w:space="0" w:color="auto"/>
      </w:divBdr>
    </w:div>
    <w:div w:id="700471808">
      <w:bodyDiv w:val="1"/>
      <w:marLeft w:val="0"/>
      <w:marRight w:val="0"/>
      <w:marTop w:val="0"/>
      <w:marBottom w:val="0"/>
      <w:divBdr>
        <w:top w:val="none" w:sz="0" w:space="0" w:color="auto"/>
        <w:left w:val="none" w:sz="0" w:space="0" w:color="auto"/>
        <w:bottom w:val="none" w:sz="0" w:space="0" w:color="auto"/>
        <w:right w:val="none" w:sz="0" w:space="0" w:color="auto"/>
      </w:divBdr>
    </w:div>
    <w:div w:id="711534175">
      <w:bodyDiv w:val="1"/>
      <w:marLeft w:val="0"/>
      <w:marRight w:val="0"/>
      <w:marTop w:val="0"/>
      <w:marBottom w:val="0"/>
      <w:divBdr>
        <w:top w:val="none" w:sz="0" w:space="0" w:color="auto"/>
        <w:left w:val="none" w:sz="0" w:space="0" w:color="auto"/>
        <w:bottom w:val="none" w:sz="0" w:space="0" w:color="auto"/>
        <w:right w:val="none" w:sz="0" w:space="0" w:color="auto"/>
      </w:divBdr>
    </w:div>
    <w:div w:id="715010746">
      <w:bodyDiv w:val="1"/>
      <w:marLeft w:val="0"/>
      <w:marRight w:val="0"/>
      <w:marTop w:val="0"/>
      <w:marBottom w:val="0"/>
      <w:divBdr>
        <w:top w:val="none" w:sz="0" w:space="0" w:color="auto"/>
        <w:left w:val="none" w:sz="0" w:space="0" w:color="auto"/>
        <w:bottom w:val="none" w:sz="0" w:space="0" w:color="auto"/>
        <w:right w:val="none" w:sz="0" w:space="0" w:color="auto"/>
      </w:divBdr>
    </w:div>
    <w:div w:id="739258019">
      <w:bodyDiv w:val="1"/>
      <w:marLeft w:val="0"/>
      <w:marRight w:val="0"/>
      <w:marTop w:val="0"/>
      <w:marBottom w:val="0"/>
      <w:divBdr>
        <w:top w:val="none" w:sz="0" w:space="0" w:color="auto"/>
        <w:left w:val="none" w:sz="0" w:space="0" w:color="auto"/>
        <w:bottom w:val="none" w:sz="0" w:space="0" w:color="auto"/>
        <w:right w:val="none" w:sz="0" w:space="0" w:color="auto"/>
      </w:divBdr>
    </w:div>
    <w:div w:id="773865595">
      <w:bodyDiv w:val="1"/>
      <w:marLeft w:val="0"/>
      <w:marRight w:val="0"/>
      <w:marTop w:val="0"/>
      <w:marBottom w:val="0"/>
      <w:divBdr>
        <w:top w:val="none" w:sz="0" w:space="0" w:color="auto"/>
        <w:left w:val="none" w:sz="0" w:space="0" w:color="auto"/>
        <w:bottom w:val="none" w:sz="0" w:space="0" w:color="auto"/>
        <w:right w:val="none" w:sz="0" w:space="0" w:color="auto"/>
      </w:divBdr>
    </w:div>
    <w:div w:id="777650340">
      <w:bodyDiv w:val="1"/>
      <w:marLeft w:val="0"/>
      <w:marRight w:val="0"/>
      <w:marTop w:val="0"/>
      <w:marBottom w:val="0"/>
      <w:divBdr>
        <w:top w:val="none" w:sz="0" w:space="0" w:color="auto"/>
        <w:left w:val="none" w:sz="0" w:space="0" w:color="auto"/>
        <w:bottom w:val="none" w:sz="0" w:space="0" w:color="auto"/>
        <w:right w:val="none" w:sz="0" w:space="0" w:color="auto"/>
      </w:divBdr>
    </w:div>
    <w:div w:id="825323106">
      <w:bodyDiv w:val="1"/>
      <w:marLeft w:val="0"/>
      <w:marRight w:val="0"/>
      <w:marTop w:val="0"/>
      <w:marBottom w:val="0"/>
      <w:divBdr>
        <w:top w:val="none" w:sz="0" w:space="0" w:color="auto"/>
        <w:left w:val="none" w:sz="0" w:space="0" w:color="auto"/>
        <w:bottom w:val="none" w:sz="0" w:space="0" w:color="auto"/>
        <w:right w:val="none" w:sz="0" w:space="0" w:color="auto"/>
      </w:divBdr>
    </w:div>
    <w:div w:id="843202570">
      <w:bodyDiv w:val="1"/>
      <w:marLeft w:val="0"/>
      <w:marRight w:val="0"/>
      <w:marTop w:val="0"/>
      <w:marBottom w:val="0"/>
      <w:divBdr>
        <w:top w:val="none" w:sz="0" w:space="0" w:color="auto"/>
        <w:left w:val="none" w:sz="0" w:space="0" w:color="auto"/>
        <w:bottom w:val="none" w:sz="0" w:space="0" w:color="auto"/>
        <w:right w:val="none" w:sz="0" w:space="0" w:color="auto"/>
      </w:divBdr>
    </w:div>
    <w:div w:id="845947811">
      <w:bodyDiv w:val="1"/>
      <w:marLeft w:val="0"/>
      <w:marRight w:val="0"/>
      <w:marTop w:val="0"/>
      <w:marBottom w:val="0"/>
      <w:divBdr>
        <w:top w:val="none" w:sz="0" w:space="0" w:color="auto"/>
        <w:left w:val="none" w:sz="0" w:space="0" w:color="auto"/>
        <w:bottom w:val="none" w:sz="0" w:space="0" w:color="auto"/>
        <w:right w:val="none" w:sz="0" w:space="0" w:color="auto"/>
      </w:divBdr>
    </w:div>
    <w:div w:id="857082397">
      <w:bodyDiv w:val="1"/>
      <w:marLeft w:val="0"/>
      <w:marRight w:val="0"/>
      <w:marTop w:val="0"/>
      <w:marBottom w:val="0"/>
      <w:divBdr>
        <w:top w:val="none" w:sz="0" w:space="0" w:color="auto"/>
        <w:left w:val="none" w:sz="0" w:space="0" w:color="auto"/>
        <w:bottom w:val="none" w:sz="0" w:space="0" w:color="auto"/>
        <w:right w:val="none" w:sz="0" w:space="0" w:color="auto"/>
      </w:divBdr>
    </w:div>
    <w:div w:id="885920518">
      <w:bodyDiv w:val="1"/>
      <w:marLeft w:val="0"/>
      <w:marRight w:val="0"/>
      <w:marTop w:val="0"/>
      <w:marBottom w:val="0"/>
      <w:divBdr>
        <w:top w:val="none" w:sz="0" w:space="0" w:color="auto"/>
        <w:left w:val="none" w:sz="0" w:space="0" w:color="auto"/>
        <w:bottom w:val="none" w:sz="0" w:space="0" w:color="auto"/>
        <w:right w:val="none" w:sz="0" w:space="0" w:color="auto"/>
      </w:divBdr>
    </w:div>
    <w:div w:id="900138067">
      <w:bodyDiv w:val="1"/>
      <w:marLeft w:val="0"/>
      <w:marRight w:val="0"/>
      <w:marTop w:val="0"/>
      <w:marBottom w:val="0"/>
      <w:divBdr>
        <w:top w:val="none" w:sz="0" w:space="0" w:color="auto"/>
        <w:left w:val="none" w:sz="0" w:space="0" w:color="auto"/>
        <w:bottom w:val="none" w:sz="0" w:space="0" w:color="auto"/>
        <w:right w:val="none" w:sz="0" w:space="0" w:color="auto"/>
      </w:divBdr>
    </w:div>
    <w:div w:id="907106926">
      <w:bodyDiv w:val="1"/>
      <w:marLeft w:val="0"/>
      <w:marRight w:val="0"/>
      <w:marTop w:val="0"/>
      <w:marBottom w:val="0"/>
      <w:divBdr>
        <w:top w:val="none" w:sz="0" w:space="0" w:color="auto"/>
        <w:left w:val="none" w:sz="0" w:space="0" w:color="auto"/>
        <w:bottom w:val="none" w:sz="0" w:space="0" w:color="auto"/>
        <w:right w:val="none" w:sz="0" w:space="0" w:color="auto"/>
      </w:divBdr>
    </w:div>
    <w:div w:id="911816044">
      <w:bodyDiv w:val="1"/>
      <w:marLeft w:val="0"/>
      <w:marRight w:val="0"/>
      <w:marTop w:val="0"/>
      <w:marBottom w:val="0"/>
      <w:divBdr>
        <w:top w:val="none" w:sz="0" w:space="0" w:color="auto"/>
        <w:left w:val="none" w:sz="0" w:space="0" w:color="auto"/>
        <w:bottom w:val="none" w:sz="0" w:space="0" w:color="auto"/>
        <w:right w:val="none" w:sz="0" w:space="0" w:color="auto"/>
      </w:divBdr>
    </w:div>
    <w:div w:id="947277550">
      <w:bodyDiv w:val="1"/>
      <w:marLeft w:val="0"/>
      <w:marRight w:val="0"/>
      <w:marTop w:val="0"/>
      <w:marBottom w:val="0"/>
      <w:divBdr>
        <w:top w:val="none" w:sz="0" w:space="0" w:color="auto"/>
        <w:left w:val="none" w:sz="0" w:space="0" w:color="auto"/>
        <w:bottom w:val="none" w:sz="0" w:space="0" w:color="auto"/>
        <w:right w:val="none" w:sz="0" w:space="0" w:color="auto"/>
      </w:divBdr>
    </w:div>
    <w:div w:id="950624590">
      <w:bodyDiv w:val="1"/>
      <w:marLeft w:val="0"/>
      <w:marRight w:val="0"/>
      <w:marTop w:val="0"/>
      <w:marBottom w:val="0"/>
      <w:divBdr>
        <w:top w:val="none" w:sz="0" w:space="0" w:color="auto"/>
        <w:left w:val="none" w:sz="0" w:space="0" w:color="auto"/>
        <w:bottom w:val="none" w:sz="0" w:space="0" w:color="auto"/>
        <w:right w:val="none" w:sz="0" w:space="0" w:color="auto"/>
      </w:divBdr>
    </w:div>
    <w:div w:id="986592431">
      <w:bodyDiv w:val="1"/>
      <w:marLeft w:val="0"/>
      <w:marRight w:val="0"/>
      <w:marTop w:val="0"/>
      <w:marBottom w:val="0"/>
      <w:divBdr>
        <w:top w:val="none" w:sz="0" w:space="0" w:color="auto"/>
        <w:left w:val="none" w:sz="0" w:space="0" w:color="auto"/>
        <w:bottom w:val="none" w:sz="0" w:space="0" w:color="auto"/>
        <w:right w:val="none" w:sz="0" w:space="0" w:color="auto"/>
      </w:divBdr>
    </w:div>
    <w:div w:id="1020400577">
      <w:bodyDiv w:val="1"/>
      <w:marLeft w:val="0"/>
      <w:marRight w:val="0"/>
      <w:marTop w:val="0"/>
      <w:marBottom w:val="0"/>
      <w:divBdr>
        <w:top w:val="none" w:sz="0" w:space="0" w:color="auto"/>
        <w:left w:val="none" w:sz="0" w:space="0" w:color="auto"/>
        <w:bottom w:val="none" w:sz="0" w:space="0" w:color="auto"/>
        <w:right w:val="none" w:sz="0" w:space="0" w:color="auto"/>
      </w:divBdr>
    </w:div>
    <w:div w:id="1044712760">
      <w:bodyDiv w:val="1"/>
      <w:marLeft w:val="0"/>
      <w:marRight w:val="0"/>
      <w:marTop w:val="0"/>
      <w:marBottom w:val="0"/>
      <w:divBdr>
        <w:top w:val="none" w:sz="0" w:space="0" w:color="auto"/>
        <w:left w:val="none" w:sz="0" w:space="0" w:color="auto"/>
        <w:bottom w:val="none" w:sz="0" w:space="0" w:color="auto"/>
        <w:right w:val="none" w:sz="0" w:space="0" w:color="auto"/>
      </w:divBdr>
    </w:div>
    <w:div w:id="1045443422">
      <w:bodyDiv w:val="1"/>
      <w:marLeft w:val="0"/>
      <w:marRight w:val="0"/>
      <w:marTop w:val="0"/>
      <w:marBottom w:val="0"/>
      <w:divBdr>
        <w:top w:val="none" w:sz="0" w:space="0" w:color="auto"/>
        <w:left w:val="none" w:sz="0" w:space="0" w:color="auto"/>
        <w:bottom w:val="none" w:sz="0" w:space="0" w:color="auto"/>
        <w:right w:val="none" w:sz="0" w:space="0" w:color="auto"/>
      </w:divBdr>
    </w:div>
    <w:div w:id="1053771521">
      <w:bodyDiv w:val="1"/>
      <w:marLeft w:val="0"/>
      <w:marRight w:val="0"/>
      <w:marTop w:val="0"/>
      <w:marBottom w:val="0"/>
      <w:divBdr>
        <w:top w:val="none" w:sz="0" w:space="0" w:color="auto"/>
        <w:left w:val="none" w:sz="0" w:space="0" w:color="auto"/>
        <w:bottom w:val="none" w:sz="0" w:space="0" w:color="auto"/>
        <w:right w:val="none" w:sz="0" w:space="0" w:color="auto"/>
      </w:divBdr>
    </w:div>
    <w:div w:id="1058242282">
      <w:bodyDiv w:val="1"/>
      <w:marLeft w:val="0"/>
      <w:marRight w:val="0"/>
      <w:marTop w:val="0"/>
      <w:marBottom w:val="0"/>
      <w:divBdr>
        <w:top w:val="none" w:sz="0" w:space="0" w:color="auto"/>
        <w:left w:val="none" w:sz="0" w:space="0" w:color="auto"/>
        <w:bottom w:val="none" w:sz="0" w:space="0" w:color="auto"/>
        <w:right w:val="none" w:sz="0" w:space="0" w:color="auto"/>
      </w:divBdr>
    </w:div>
    <w:div w:id="1139952519">
      <w:bodyDiv w:val="1"/>
      <w:marLeft w:val="0"/>
      <w:marRight w:val="0"/>
      <w:marTop w:val="0"/>
      <w:marBottom w:val="0"/>
      <w:divBdr>
        <w:top w:val="none" w:sz="0" w:space="0" w:color="auto"/>
        <w:left w:val="none" w:sz="0" w:space="0" w:color="auto"/>
        <w:bottom w:val="none" w:sz="0" w:space="0" w:color="auto"/>
        <w:right w:val="none" w:sz="0" w:space="0" w:color="auto"/>
      </w:divBdr>
    </w:div>
    <w:div w:id="1152481268">
      <w:bodyDiv w:val="1"/>
      <w:marLeft w:val="0"/>
      <w:marRight w:val="0"/>
      <w:marTop w:val="0"/>
      <w:marBottom w:val="0"/>
      <w:divBdr>
        <w:top w:val="none" w:sz="0" w:space="0" w:color="auto"/>
        <w:left w:val="none" w:sz="0" w:space="0" w:color="auto"/>
        <w:bottom w:val="none" w:sz="0" w:space="0" w:color="auto"/>
        <w:right w:val="none" w:sz="0" w:space="0" w:color="auto"/>
      </w:divBdr>
    </w:div>
    <w:div w:id="1168641184">
      <w:bodyDiv w:val="1"/>
      <w:marLeft w:val="0"/>
      <w:marRight w:val="0"/>
      <w:marTop w:val="0"/>
      <w:marBottom w:val="0"/>
      <w:divBdr>
        <w:top w:val="none" w:sz="0" w:space="0" w:color="auto"/>
        <w:left w:val="none" w:sz="0" w:space="0" w:color="auto"/>
        <w:bottom w:val="none" w:sz="0" w:space="0" w:color="auto"/>
        <w:right w:val="none" w:sz="0" w:space="0" w:color="auto"/>
      </w:divBdr>
    </w:div>
    <w:div w:id="1173254679">
      <w:bodyDiv w:val="1"/>
      <w:marLeft w:val="0"/>
      <w:marRight w:val="0"/>
      <w:marTop w:val="0"/>
      <w:marBottom w:val="0"/>
      <w:divBdr>
        <w:top w:val="none" w:sz="0" w:space="0" w:color="auto"/>
        <w:left w:val="none" w:sz="0" w:space="0" w:color="auto"/>
        <w:bottom w:val="none" w:sz="0" w:space="0" w:color="auto"/>
        <w:right w:val="none" w:sz="0" w:space="0" w:color="auto"/>
      </w:divBdr>
    </w:div>
    <w:div w:id="1180663254">
      <w:bodyDiv w:val="1"/>
      <w:marLeft w:val="0"/>
      <w:marRight w:val="0"/>
      <w:marTop w:val="0"/>
      <w:marBottom w:val="0"/>
      <w:divBdr>
        <w:top w:val="none" w:sz="0" w:space="0" w:color="auto"/>
        <w:left w:val="none" w:sz="0" w:space="0" w:color="auto"/>
        <w:bottom w:val="none" w:sz="0" w:space="0" w:color="auto"/>
        <w:right w:val="none" w:sz="0" w:space="0" w:color="auto"/>
      </w:divBdr>
    </w:div>
    <w:div w:id="1212379154">
      <w:bodyDiv w:val="1"/>
      <w:marLeft w:val="0"/>
      <w:marRight w:val="0"/>
      <w:marTop w:val="0"/>
      <w:marBottom w:val="0"/>
      <w:divBdr>
        <w:top w:val="none" w:sz="0" w:space="0" w:color="auto"/>
        <w:left w:val="none" w:sz="0" w:space="0" w:color="auto"/>
        <w:bottom w:val="none" w:sz="0" w:space="0" w:color="auto"/>
        <w:right w:val="none" w:sz="0" w:space="0" w:color="auto"/>
      </w:divBdr>
    </w:div>
    <w:div w:id="1255897923">
      <w:bodyDiv w:val="1"/>
      <w:marLeft w:val="0"/>
      <w:marRight w:val="0"/>
      <w:marTop w:val="0"/>
      <w:marBottom w:val="0"/>
      <w:divBdr>
        <w:top w:val="none" w:sz="0" w:space="0" w:color="auto"/>
        <w:left w:val="none" w:sz="0" w:space="0" w:color="auto"/>
        <w:bottom w:val="none" w:sz="0" w:space="0" w:color="auto"/>
        <w:right w:val="none" w:sz="0" w:space="0" w:color="auto"/>
      </w:divBdr>
    </w:div>
    <w:div w:id="1329020534">
      <w:bodyDiv w:val="1"/>
      <w:marLeft w:val="0"/>
      <w:marRight w:val="0"/>
      <w:marTop w:val="0"/>
      <w:marBottom w:val="0"/>
      <w:divBdr>
        <w:top w:val="none" w:sz="0" w:space="0" w:color="auto"/>
        <w:left w:val="none" w:sz="0" w:space="0" w:color="auto"/>
        <w:bottom w:val="none" w:sz="0" w:space="0" w:color="auto"/>
        <w:right w:val="none" w:sz="0" w:space="0" w:color="auto"/>
      </w:divBdr>
    </w:div>
    <w:div w:id="1335454658">
      <w:bodyDiv w:val="1"/>
      <w:marLeft w:val="0"/>
      <w:marRight w:val="0"/>
      <w:marTop w:val="0"/>
      <w:marBottom w:val="0"/>
      <w:divBdr>
        <w:top w:val="none" w:sz="0" w:space="0" w:color="auto"/>
        <w:left w:val="none" w:sz="0" w:space="0" w:color="auto"/>
        <w:bottom w:val="none" w:sz="0" w:space="0" w:color="auto"/>
        <w:right w:val="none" w:sz="0" w:space="0" w:color="auto"/>
      </w:divBdr>
    </w:div>
    <w:div w:id="1336881064">
      <w:bodyDiv w:val="1"/>
      <w:marLeft w:val="0"/>
      <w:marRight w:val="0"/>
      <w:marTop w:val="0"/>
      <w:marBottom w:val="0"/>
      <w:divBdr>
        <w:top w:val="none" w:sz="0" w:space="0" w:color="auto"/>
        <w:left w:val="none" w:sz="0" w:space="0" w:color="auto"/>
        <w:bottom w:val="none" w:sz="0" w:space="0" w:color="auto"/>
        <w:right w:val="none" w:sz="0" w:space="0" w:color="auto"/>
      </w:divBdr>
    </w:div>
    <w:div w:id="1342122577">
      <w:bodyDiv w:val="1"/>
      <w:marLeft w:val="0"/>
      <w:marRight w:val="0"/>
      <w:marTop w:val="0"/>
      <w:marBottom w:val="0"/>
      <w:divBdr>
        <w:top w:val="none" w:sz="0" w:space="0" w:color="auto"/>
        <w:left w:val="none" w:sz="0" w:space="0" w:color="auto"/>
        <w:bottom w:val="none" w:sz="0" w:space="0" w:color="auto"/>
        <w:right w:val="none" w:sz="0" w:space="0" w:color="auto"/>
      </w:divBdr>
    </w:div>
    <w:div w:id="1362628600">
      <w:bodyDiv w:val="1"/>
      <w:marLeft w:val="0"/>
      <w:marRight w:val="0"/>
      <w:marTop w:val="0"/>
      <w:marBottom w:val="0"/>
      <w:divBdr>
        <w:top w:val="none" w:sz="0" w:space="0" w:color="auto"/>
        <w:left w:val="none" w:sz="0" w:space="0" w:color="auto"/>
        <w:bottom w:val="none" w:sz="0" w:space="0" w:color="auto"/>
        <w:right w:val="none" w:sz="0" w:space="0" w:color="auto"/>
      </w:divBdr>
    </w:div>
    <w:div w:id="1373845053">
      <w:bodyDiv w:val="1"/>
      <w:marLeft w:val="0"/>
      <w:marRight w:val="0"/>
      <w:marTop w:val="0"/>
      <w:marBottom w:val="0"/>
      <w:divBdr>
        <w:top w:val="none" w:sz="0" w:space="0" w:color="auto"/>
        <w:left w:val="none" w:sz="0" w:space="0" w:color="auto"/>
        <w:bottom w:val="none" w:sz="0" w:space="0" w:color="auto"/>
        <w:right w:val="none" w:sz="0" w:space="0" w:color="auto"/>
      </w:divBdr>
    </w:div>
    <w:div w:id="1389112388">
      <w:bodyDiv w:val="1"/>
      <w:marLeft w:val="0"/>
      <w:marRight w:val="0"/>
      <w:marTop w:val="0"/>
      <w:marBottom w:val="0"/>
      <w:divBdr>
        <w:top w:val="none" w:sz="0" w:space="0" w:color="auto"/>
        <w:left w:val="none" w:sz="0" w:space="0" w:color="auto"/>
        <w:bottom w:val="none" w:sz="0" w:space="0" w:color="auto"/>
        <w:right w:val="none" w:sz="0" w:space="0" w:color="auto"/>
      </w:divBdr>
    </w:div>
    <w:div w:id="1390763054">
      <w:bodyDiv w:val="1"/>
      <w:marLeft w:val="0"/>
      <w:marRight w:val="0"/>
      <w:marTop w:val="0"/>
      <w:marBottom w:val="0"/>
      <w:divBdr>
        <w:top w:val="none" w:sz="0" w:space="0" w:color="auto"/>
        <w:left w:val="none" w:sz="0" w:space="0" w:color="auto"/>
        <w:bottom w:val="none" w:sz="0" w:space="0" w:color="auto"/>
        <w:right w:val="none" w:sz="0" w:space="0" w:color="auto"/>
      </w:divBdr>
    </w:div>
    <w:div w:id="1392314695">
      <w:bodyDiv w:val="1"/>
      <w:marLeft w:val="0"/>
      <w:marRight w:val="0"/>
      <w:marTop w:val="0"/>
      <w:marBottom w:val="0"/>
      <w:divBdr>
        <w:top w:val="none" w:sz="0" w:space="0" w:color="auto"/>
        <w:left w:val="none" w:sz="0" w:space="0" w:color="auto"/>
        <w:bottom w:val="none" w:sz="0" w:space="0" w:color="auto"/>
        <w:right w:val="none" w:sz="0" w:space="0" w:color="auto"/>
      </w:divBdr>
    </w:div>
    <w:div w:id="1393580010">
      <w:bodyDiv w:val="1"/>
      <w:marLeft w:val="0"/>
      <w:marRight w:val="0"/>
      <w:marTop w:val="0"/>
      <w:marBottom w:val="0"/>
      <w:divBdr>
        <w:top w:val="none" w:sz="0" w:space="0" w:color="auto"/>
        <w:left w:val="none" w:sz="0" w:space="0" w:color="auto"/>
        <w:bottom w:val="none" w:sz="0" w:space="0" w:color="auto"/>
        <w:right w:val="none" w:sz="0" w:space="0" w:color="auto"/>
      </w:divBdr>
    </w:div>
    <w:div w:id="1395424348">
      <w:bodyDiv w:val="1"/>
      <w:marLeft w:val="0"/>
      <w:marRight w:val="0"/>
      <w:marTop w:val="0"/>
      <w:marBottom w:val="0"/>
      <w:divBdr>
        <w:top w:val="none" w:sz="0" w:space="0" w:color="auto"/>
        <w:left w:val="none" w:sz="0" w:space="0" w:color="auto"/>
        <w:bottom w:val="none" w:sz="0" w:space="0" w:color="auto"/>
        <w:right w:val="none" w:sz="0" w:space="0" w:color="auto"/>
      </w:divBdr>
    </w:div>
    <w:div w:id="1396509127">
      <w:bodyDiv w:val="1"/>
      <w:marLeft w:val="0"/>
      <w:marRight w:val="0"/>
      <w:marTop w:val="0"/>
      <w:marBottom w:val="0"/>
      <w:divBdr>
        <w:top w:val="none" w:sz="0" w:space="0" w:color="auto"/>
        <w:left w:val="none" w:sz="0" w:space="0" w:color="auto"/>
        <w:bottom w:val="none" w:sz="0" w:space="0" w:color="auto"/>
        <w:right w:val="none" w:sz="0" w:space="0" w:color="auto"/>
      </w:divBdr>
    </w:div>
    <w:div w:id="1409500745">
      <w:bodyDiv w:val="1"/>
      <w:marLeft w:val="0"/>
      <w:marRight w:val="0"/>
      <w:marTop w:val="0"/>
      <w:marBottom w:val="0"/>
      <w:divBdr>
        <w:top w:val="none" w:sz="0" w:space="0" w:color="auto"/>
        <w:left w:val="none" w:sz="0" w:space="0" w:color="auto"/>
        <w:bottom w:val="none" w:sz="0" w:space="0" w:color="auto"/>
        <w:right w:val="none" w:sz="0" w:space="0" w:color="auto"/>
      </w:divBdr>
    </w:div>
    <w:div w:id="1436556338">
      <w:bodyDiv w:val="1"/>
      <w:marLeft w:val="0"/>
      <w:marRight w:val="0"/>
      <w:marTop w:val="0"/>
      <w:marBottom w:val="0"/>
      <w:divBdr>
        <w:top w:val="none" w:sz="0" w:space="0" w:color="auto"/>
        <w:left w:val="none" w:sz="0" w:space="0" w:color="auto"/>
        <w:bottom w:val="none" w:sz="0" w:space="0" w:color="auto"/>
        <w:right w:val="none" w:sz="0" w:space="0" w:color="auto"/>
      </w:divBdr>
    </w:div>
    <w:div w:id="1446996034">
      <w:bodyDiv w:val="1"/>
      <w:marLeft w:val="0"/>
      <w:marRight w:val="0"/>
      <w:marTop w:val="0"/>
      <w:marBottom w:val="0"/>
      <w:divBdr>
        <w:top w:val="none" w:sz="0" w:space="0" w:color="auto"/>
        <w:left w:val="none" w:sz="0" w:space="0" w:color="auto"/>
        <w:bottom w:val="none" w:sz="0" w:space="0" w:color="auto"/>
        <w:right w:val="none" w:sz="0" w:space="0" w:color="auto"/>
      </w:divBdr>
    </w:div>
    <w:div w:id="1463186254">
      <w:bodyDiv w:val="1"/>
      <w:marLeft w:val="0"/>
      <w:marRight w:val="0"/>
      <w:marTop w:val="0"/>
      <w:marBottom w:val="0"/>
      <w:divBdr>
        <w:top w:val="none" w:sz="0" w:space="0" w:color="auto"/>
        <w:left w:val="none" w:sz="0" w:space="0" w:color="auto"/>
        <w:bottom w:val="none" w:sz="0" w:space="0" w:color="auto"/>
        <w:right w:val="none" w:sz="0" w:space="0" w:color="auto"/>
      </w:divBdr>
    </w:div>
    <w:div w:id="1493331373">
      <w:bodyDiv w:val="1"/>
      <w:marLeft w:val="0"/>
      <w:marRight w:val="0"/>
      <w:marTop w:val="0"/>
      <w:marBottom w:val="0"/>
      <w:divBdr>
        <w:top w:val="none" w:sz="0" w:space="0" w:color="auto"/>
        <w:left w:val="none" w:sz="0" w:space="0" w:color="auto"/>
        <w:bottom w:val="none" w:sz="0" w:space="0" w:color="auto"/>
        <w:right w:val="none" w:sz="0" w:space="0" w:color="auto"/>
      </w:divBdr>
    </w:div>
    <w:div w:id="1516842143">
      <w:bodyDiv w:val="1"/>
      <w:marLeft w:val="0"/>
      <w:marRight w:val="0"/>
      <w:marTop w:val="0"/>
      <w:marBottom w:val="0"/>
      <w:divBdr>
        <w:top w:val="none" w:sz="0" w:space="0" w:color="auto"/>
        <w:left w:val="none" w:sz="0" w:space="0" w:color="auto"/>
        <w:bottom w:val="none" w:sz="0" w:space="0" w:color="auto"/>
        <w:right w:val="none" w:sz="0" w:space="0" w:color="auto"/>
      </w:divBdr>
    </w:div>
    <w:div w:id="1536313076">
      <w:bodyDiv w:val="1"/>
      <w:marLeft w:val="0"/>
      <w:marRight w:val="0"/>
      <w:marTop w:val="0"/>
      <w:marBottom w:val="0"/>
      <w:divBdr>
        <w:top w:val="none" w:sz="0" w:space="0" w:color="auto"/>
        <w:left w:val="none" w:sz="0" w:space="0" w:color="auto"/>
        <w:bottom w:val="none" w:sz="0" w:space="0" w:color="auto"/>
        <w:right w:val="none" w:sz="0" w:space="0" w:color="auto"/>
      </w:divBdr>
    </w:div>
    <w:div w:id="1539048478">
      <w:bodyDiv w:val="1"/>
      <w:marLeft w:val="0"/>
      <w:marRight w:val="0"/>
      <w:marTop w:val="0"/>
      <w:marBottom w:val="0"/>
      <w:divBdr>
        <w:top w:val="none" w:sz="0" w:space="0" w:color="auto"/>
        <w:left w:val="none" w:sz="0" w:space="0" w:color="auto"/>
        <w:bottom w:val="none" w:sz="0" w:space="0" w:color="auto"/>
        <w:right w:val="none" w:sz="0" w:space="0" w:color="auto"/>
      </w:divBdr>
    </w:div>
    <w:div w:id="1556237953">
      <w:bodyDiv w:val="1"/>
      <w:marLeft w:val="0"/>
      <w:marRight w:val="0"/>
      <w:marTop w:val="0"/>
      <w:marBottom w:val="0"/>
      <w:divBdr>
        <w:top w:val="none" w:sz="0" w:space="0" w:color="auto"/>
        <w:left w:val="none" w:sz="0" w:space="0" w:color="auto"/>
        <w:bottom w:val="none" w:sz="0" w:space="0" w:color="auto"/>
        <w:right w:val="none" w:sz="0" w:space="0" w:color="auto"/>
      </w:divBdr>
    </w:div>
    <w:div w:id="1558085294">
      <w:bodyDiv w:val="1"/>
      <w:marLeft w:val="0"/>
      <w:marRight w:val="0"/>
      <w:marTop w:val="0"/>
      <w:marBottom w:val="0"/>
      <w:divBdr>
        <w:top w:val="none" w:sz="0" w:space="0" w:color="auto"/>
        <w:left w:val="none" w:sz="0" w:space="0" w:color="auto"/>
        <w:bottom w:val="none" w:sz="0" w:space="0" w:color="auto"/>
        <w:right w:val="none" w:sz="0" w:space="0" w:color="auto"/>
      </w:divBdr>
    </w:div>
    <w:div w:id="1559508343">
      <w:bodyDiv w:val="1"/>
      <w:marLeft w:val="0"/>
      <w:marRight w:val="0"/>
      <w:marTop w:val="0"/>
      <w:marBottom w:val="0"/>
      <w:divBdr>
        <w:top w:val="none" w:sz="0" w:space="0" w:color="auto"/>
        <w:left w:val="none" w:sz="0" w:space="0" w:color="auto"/>
        <w:bottom w:val="none" w:sz="0" w:space="0" w:color="auto"/>
        <w:right w:val="none" w:sz="0" w:space="0" w:color="auto"/>
      </w:divBdr>
    </w:div>
    <w:div w:id="1566456290">
      <w:bodyDiv w:val="1"/>
      <w:marLeft w:val="0"/>
      <w:marRight w:val="0"/>
      <w:marTop w:val="0"/>
      <w:marBottom w:val="0"/>
      <w:divBdr>
        <w:top w:val="none" w:sz="0" w:space="0" w:color="auto"/>
        <w:left w:val="none" w:sz="0" w:space="0" w:color="auto"/>
        <w:bottom w:val="none" w:sz="0" w:space="0" w:color="auto"/>
        <w:right w:val="none" w:sz="0" w:space="0" w:color="auto"/>
      </w:divBdr>
    </w:div>
    <w:div w:id="1591698361">
      <w:bodyDiv w:val="1"/>
      <w:marLeft w:val="0"/>
      <w:marRight w:val="0"/>
      <w:marTop w:val="0"/>
      <w:marBottom w:val="0"/>
      <w:divBdr>
        <w:top w:val="none" w:sz="0" w:space="0" w:color="auto"/>
        <w:left w:val="none" w:sz="0" w:space="0" w:color="auto"/>
        <w:bottom w:val="none" w:sz="0" w:space="0" w:color="auto"/>
        <w:right w:val="none" w:sz="0" w:space="0" w:color="auto"/>
      </w:divBdr>
    </w:div>
    <w:div w:id="1653875665">
      <w:bodyDiv w:val="1"/>
      <w:marLeft w:val="0"/>
      <w:marRight w:val="0"/>
      <w:marTop w:val="0"/>
      <w:marBottom w:val="0"/>
      <w:divBdr>
        <w:top w:val="none" w:sz="0" w:space="0" w:color="auto"/>
        <w:left w:val="none" w:sz="0" w:space="0" w:color="auto"/>
        <w:bottom w:val="none" w:sz="0" w:space="0" w:color="auto"/>
        <w:right w:val="none" w:sz="0" w:space="0" w:color="auto"/>
      </w:divBdr>
    </w:div>
    <w:div w:id="1655379028">
      <w:bodyDiv w:val="1"/>
      <w:marLeft w:val="0"/>
      <w:marRight w:val="0"/>
      <w:marTop w:val="0"/>
      <w:marBottom w:val="0"/>
      <w:divBdr>
        <w:top w:val="none" w:sz="0" w:space="0" w:color="auto"/>
        <w:left w:val="none" w:sz="0" w:space="0" w:color="auto"/>
        <w:bottom w:val="none" w:sz="0" w:space="0" w:color="auto"/>
        <w:right w:val="none" w:sz="0" w:space="0" w:color="auto"/>
      </w:divBdr>
    </w:div>
    <w:div w:id="1672247108">
      <w:bodyDiv w:val="1"/>
      <w:marLeft w:val="0"/>
      <w:marRight w:val="0"/>
      <w:marTop w:val="0"/>
      <w:marBottom w:val="0"/>
      <w:divBdr>
        <w:top w:val="none" w:sz="0" w:space="0" w:color="auto"/>
        <w:left w:val="none" w:sz="0" w:space="0" w:color="auto"/>
        <w:bottom w:val="none" w:sz="0" w:space="0" w:color="auto"/>
        <w:right w:val="none" w:sz="0" w:space="0" w:color="auto"/>
      </w:divBdr>
    </w:div>
    <w:div w:id="1683126167">
      <w:bodyDiv w:val="1"/>
      <w:marLeft w:val="0"/>
      <w:marRight w:val="0"/>
      <w:marTop w:val="0"/>
      <w:marBottom w:val="0"/>
      <w:divBdr>
        <w:top w:val="none" w:sz="0" w:space="0" w:color="auto"/>
        <w:left w:val="none" w:sz="0" w:space="0" w:color="auto"/>
        <w:bottom w:val="none" w:sz="0" w:space="0" w:color="auto"/>
        <w:right w:val="none" w:sz="0" w:space="0" w:color="auto"/>
      </w:divBdr>
    </w:div>
    <w:div w:id="1705642447">
      <w:bodyDiv w:val="1"/>
      <w:marLeft w:val="0"/>
      <w:marRight w:val="0"/>
      <w:marTop w:val="0"/>
      <w:marBottom w:val="0"/>
      <w:divBdr>
        <w:top w:val="none" w:sz="0" w:space="0" w:color="auto"/>
        <w:left w:val="none" w:sz="0" w:space="0" w:color="auto"/>
        <w:bottom w:val="none" w:sz="0" w:space="0" w:color="auto"/>
        <w:right w:val="none" w:sz="0" w:space="0" w:color="auto"/>
      </w:divBdr>
    </w:div>
    <w:div w:id="1705669403">
      <w:bodyDiv w:val="1"/>
      <w:marLeft w:val="0"/>
      <w:marRight w:val="0"/>
      <w:marTop w:val="0"/>
      <w:marBottom w:val="0"/>
      <w:divBdr>
        <w:top w:val="none" w:sz="0" w:space="0" w:color="auto"/>
        <w:left w:val="none" w:sz="0" w:space="0" w:color="auto"/>
        <w:bottom w:val="none" w:sz="0" w:space="0" w:color="auto"/>
        <w:right w:val="none" w:sz="0" w:space="0" w:color="auto"/>
      </w:divBdr>
    </w:div>
    <w:div w:id="1734694252">
      <w:bodyDiv w:val="1"/>
      <w:marLeft w:val="0"/>
      <w:marRight w:val="0"/>
      <w:marTop w:val="0"/>
      <w:marBottom w:val="0"/>
      <w:divBdr>
        <w:top w:val="none" w:sz="0" w:space="0" w:color="auto"/>
        <w:left w:val="none" w:sz="0" w:space="0" w:color="auto"/>
        <w:bottom w:val="none" w:sz="0" w:space="0" w:color="auto"/>
        <w:right w:val="none" w:sz="0" w:space="0" w:color="auto"/>
      </w:divBdr>
    </w:div>
    <w:div w:id="1750542540">
      <w:bodyDiv w:val="1"/>
      <w:marLeft w:val="0"/>
      <w:marRight w:val="0"/>
      <w:marTop w:val="0"/>
      <w:marBottom w:val="0"/>
      <w:divBdr>
        <w:top w:val="none" w:sz="0" w:space="0" w:color="auto"/>
        <w:left w:val="none" w:sz="0" w:space="0" w:color="auto"/>
        <w:bottom w:val="none" w:sz="0" w:space="0" w:color="auto"/>
        <w:right w:val="none" w:sz="0" w:space="0" w:color="auto"/>
      </w:divBdr>
    </w:div>
    <w:div w:id="1773621922">
      <w:bodyDiv w:val="1"/>
      <w:marLeft w:val="0"/>
      <w:marRight w:val="0"/>
      <w:marTop w:val="0"/>
      <w:marBottom w:val="0"/>
      <w:divBdr>
        <w:top w:val="none" w:sz="0" w:space="0" w:color="auto"/>
        <w:left w:val="none" w:sz="0" w:space="0" w:color="auto"/>
        <w:bottom w:val="none" w:sz="0" w:space="0" w:color="auto"/>
        <w:right w:val="none" w:sz="0" w:space="0" w:color="auto"/>
      </w:divBdr>
    </w:div>
    <w:div w:id="1775517621">
      <w:bodyDiv w:val="1"/>
      <w:marLeft w:val="0"/>
      <w:marRight w:val="0"/>
      <w:marTop w:val="0"/>
      <w:marBottom w:val="0"/>
      <w:divBdr>
        <w:top w:val="none" w:sz="0" w:space="0" w:color="auto"/>
        <w:left w:val="none" w:sz="0" w:space="0" w:color="auto"/>
        <w:bottom w:val="none" w:sz="0" w:space="0" w:color="auto"/>
        <w:right w:val="none" w:sz="0" w:space="0" w:color="auto"/>
      </w:divBdr>
    </w:div>
    <w:div w:id="1813398854">
      <w:bodyDiv w:val="1"/>
      <w:marLeft w:val="0"/>
      <w:marRight w:val="0"/>
      <w:marTop w:val="0"/>
      <w:marBottom w:val="0"/>
      <w:divBdr>
        <w:top w:val="none" w:sz="0" w:space="0" w:color="auto"/>
        <w:left w:val="none" w:sz="0" w:space="0" w:color="auto"/>
        <w:bottom w:val="none" w:sz="0" w:space="0" w:color="auto"/>
        <w:right w:val="none" w:sz="0" w:space="0" w:color="auto"/>
      </w:divBdr>
    </w:div>
    <w:div w:id="1816531779">
      <w:bodyDiv w:val="1"/>
      <w:marLeft w:val="0"/>
      <w:marRight w:val="0"/>
      <w:marTop w:val="0"/>
      <w:marBottom w:val="0"/>
      <w:divBdr>
        <w:top w:val="none" w:sz="0" w:space="0" w:color="auto"/>
        <w:left w:val="none" w:sz="0" w:space="0" w:color="auto"/>
        <w:bottom w:val="none" w:sz="0" w:space="0" w:color="auto"/>
        <w:right w:val="none" w:sz="0" w:space="0" w:color="auto"/>
      </w:divBdr>
    </w:div>
    <w:div w:id="1818838878">
      <w:bodyDiv w:val="1"/>
      <w:marLeft w:val="0"/>
      <w:marRight w:val="0"/>
      <w:marTop w:val="0"/>
      <w:marBottom w:val="0"/>
      <w:divBdr>
        <w:top w:val="none" w:sz="0" w:space="0" w:color="auto"/>
        <w:left w:val="none" w:sz="0" w:space="0" w:color="auto"/>
        <w:bottom w:val="none" w:sz="0" w:space="0" w:color="auto"/>
        <w:right w:val="none" w:sz="0" w:space="0" w:color="auto"/>
      </w:divBdr>
    </w:div>
    <w:div w:id="1848717352">
      <w:bodyDiv w:val="1"/>
      <w:marLeft w:val="0"/>
      <w:marRight w:val="0"/>
      <w:marTop w:val="0"/>
      <w:marBottom w:val="0"/>
      <w:divBdr>
        <w:top w:val="none" w:sz="0" w:space="0" w:color="auto"/>
        <w:left w:val="none" w:sz="0" w:space="0" w:color="auto"/>
        <w:bottom w:val="none" w:sz="0" w:space="0" w:color="auto"/>
        <w:right w:val="none" w:sz="0" w:space="0" w:color="auto"/>
      </w:divBdr>
    </w:div>
    <w:div w:id="1911426746">
      <w:bodyDiv w:val="1"/>
      <w:marLeft w:val="0"/>
      <w:marRight w:val="0"/>
      <w:marTop w:val="0"/>
      <w:marBottom w:val="0"/>
      <w:divBdr>
        <w:top w:val="none" w:sz="0" w:space="0" w:color="auto"/>
        <w:left w:val="none" w:sz="0" w:space="0" w:color="auto"/>
        <w:bottom w:val="none" w:sz="0" w:space="0" w:color="auto"/>
        <w:right w:val="none" w:sz="0" w:space="0" w:color="auto"/>
      </w:divBdr>
    </w:div>
    <w:div w:id="1944804067">
      <w:bodyDiv w:val="1"/>
      <w:marLeft w:val="0"/>
      <w:marRight w:val="0"/>
      <w:marTop w:val="0"/>
      <w:marBottom w:val="0"/>
      <w:divBdr>
        <w:top w:val="none" w:sz="0" w:space="0" w:color="auto"/>
        <w:left w:val="none" w:sz="0" w:space="0" w:color="auto"/>
        <w:bottom w:val="none" w:sz="0" w:space="0" w:color="auto"/>
        <w:right w:val="none" w:sz="0" w:space="0" w:color="auto"/>
      </w:divBdr>
    </w:div>
    <w:div w:id="1957565961">
      <w:bodyDiv w:val="1"/>
      <w:marLeft w:val="0"/>
      <w:marRight w:val="0"/>
      <w:marTop w:val="0"/>
      <w:marBottom w:val="0"/>
      <w:divBdr>
        <w:top w:val="none" w:sz="0" w:space="0" w:color="auto"/>
        <w:left w:val="none" w:sz="0" w:space="0" w:color="auto"/>
        <w:bottom w:val="none" w:sz="0" w:space="0" w:color="auto"/>
        <w:right w:val="none" w:sz="0" w:space="0" w:color="auto"/>
      </w:divBdr>
    </w:div>
    <w:div w:id="2048598541">
      <w:bodyDiv w:val="1"/>
      <w:marLeft w:val="0"/>
      <w:marRight w:val="0"/>
      <w:marTop w:val="0"/>
      <w:marBottom w:val="0"/>
      <w:divBdr>
        <w:top w:val="none" w:sz="0" w:space="0" w:color="auto"/>
        <w:left w:val="none" w:sz="0" w:space="0" w:color="auto"/>
        <w:bottom w:val="none" w:sz="0" w:space="0" w:color="auto"/>
        <w:right w:val="none" w:sz="0" w:space="0" w:color="auto"/>
      </w:divBdr>
    </w:div>
    <w:div w:id="2065837371">
      <w:bodyDiv w:val="1"/>
      <w:marLeft w:val="0"/>
      <w:marRight w:val="0"/>
      <w:marTop w:val="0"/>
      <w:marBottom w:val="0"/>
      <w:divBdr>
        <w:top w:val="none" w:sz="0" w:space="0" w:color="auto"/>
        <w:left w:val="none" w:sz="0" w:space="0" w:color="auto"/>
        <w:bottom w:val="none" w:sz="0" w:space="0" w:color="auto"/>
        <w:right w:val="none" w:sz="0" w:space="0" w:color="auto"/>
      </w:divBdr>
    </w:div>
    <w:div w:id="2071071668">
      <w:bodyDiv w:val="1"/>
      <w:marLeft w:val="0"/>
      <w:marRight w:val="0"/>
      <w:marTop w:val="0"/>
      <w:marBottom w:val="0"/>
      <w:divBdr>
        <w:top w:val="none" w:sz="0" w:space="0" w:color="auto"/>
        <w:left w:val="none" w:sz="0" w:space="0" w:color="auto"/>
        <w:bottom w:val="none" w:sz="0" w:space="0" w:color="auto"/>
        <w:right w:val="none" w:sz="0" w:space="0" w:color="auto"/>
      </w:divBdr>
    </w:div>
    <w:div w:id="2071152351">
      <w:bodyDiv w:val="1"/>
      <w:marLeft w:val="0"/>
      <w:marRight w:val="0"/>
      <w:marTop w:val="0"/>
      <w:marBottom w:val="0"/>
      <w:divBdr>
        <w:top w:val="none" w:sz="0" w:space="0" w:color="auto"/>
        <w:left w:val="none" w:sz="0" w:space="0" w:color="auto"/>
        <w:bottom w:val="none" w:sz="0" w:space="0" w:color="auto"/>
        <w:right w:val="none" w:sz="0" w:space="0" w:color="auto"/>
      </w:divBdr>
    </w:div>
    <w:div w:id="2111313197">
      <w:bodyDiv w:val="1"/>
      <w:marLeft w:val="0"/>
      <w:marRight w:val="0"/>
      <w:marTop w:val="0"/>
      <w:marBottom w:val="0"/>
      <w:divBdr>
        <w:top w:val="none" w:sz="0" w:space="0" w:color="auto"/>
        <w:left w:val="none" w:sz="0" w:space="0" w:color="auto"/>
        <w:bottom w:val="none" w:sz="0" w:space="0" w:color="auto"/>
        <w:right w:val="none" w:sz="0" w:space="0" w:color="auto"/>
      </w:divBdr>
    </w:div>
    <w:div w:id="2111659878">
      <w:bodyDiv w:val="1"/>
      <w:marLeft w:val="0"/>
      <w:marRight w:val="0"/>
      <w:marTop w:val="0"/>
      <w:marBottom w:val="0"/>
      <w:divBdr>
        <w:top w:val="none" w:sz="0" w:space="0" w:color="auto"/>
        <w:left w:val="none" w:sz="0" w:space="0" w:color="auto"/>
        <w:bottom w:val="none" w:sz="0" w:space="0" w:color="auto"/>
        <w:right w:val="none" w:sz="0" w:space="0" w:color="auto"/>
      </w:divBdr>
    </w:div>
    <w:div w:id="2136634716">
      <w:bodyDiv w:val="1"/>
      <w:marLeft w:val="0"/>
      <w:marRight w:val="0"/>
      <w:marTop w:val="0"/>
      <w:marBottom w:val="0"/>
      <w:divBdr>
        <w:top w:val="none" w:sz="0" w:space="0" w:color="auto"/>
        <w:left w:val="none" w:sz="0" w:space="0" w:color="auto"/>
        <w:bottom w:val="none" w:sz="0" w:space="0" w:color="auto"/>
        <w:right w:val="none" w:sz="0" w:space="0" w:color="auto"/>
      </w:divBdr>
    </w:div>
    <w:div w:id="214396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51BB368810A648A4632F0270F9648B" ma:contentTypeVersion="0" ma:contentTypeDescription="Create a new document." ma:contentTypeScope="" ma:versionID="f36084ec3bee54b7d116581a7734b3b6">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61C2E2-C62A-4C25-8BCE-E8A61D082719}">
  <ds:schemaRefs>
    <ds:schemaRef ds:uri="http://schemas.openxmlformats.org/officeDocument/2006/bibliography"/>
  </ds:schemaRefs>
</ds:datastoreItem>
</file>

<file path=customXml/itemProps2.xml><?xml version="1.0" encoding="utf-8"?>
<ds:datastoreItem xmlns:ds="http://schemas.openxmlformats.org/officeDocument/2006/customXml" ds:itemID="{72DFF5C0-8217-4240-B3B7-3A6AF39F4B5D}">
  <ds:schemaRefs>
    <ds:schemaRef ds:uri="http://schemas.microsoft.com/sharepoint/v3/contenttype/forms"/>
  </ds:schemaRefs>
</ds:datastoreItem>
</file>

<file path=customXml/itemProps3.xml><?xml version="1.0" encoding="utf-8"?>
<ds:datastoreItem xmlns:ds="http://schemas.openxmlformats.org/officeDocument/2006/customXml" ds:itemID="{24DC398E-F13F-4568-B117-431722EDA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F7FB880-0F69-4A0C-B64D-F455510FE3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3160</Words>
  <Characters>18018</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IN THE HIGH COURT OF JUSTICE IN NORTHERN IRELAND</vt:lpstr>
    </vt:vector>
  </TitlesOfParts>
  <Company>Northern Ireland Courts &amp; Tribunals Service</Company>
  <LinksUpToDate>false</LinksUpToDate>
  <CharactersWithSpaces>21136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HIGH COURT OF JUSTICE IN NORTHERN IRELAND</dc:title>
  <dc:subject/>
  <dc:creator>Brennan Margaret</dc:creator>
  <cp:keywords/>
  <dc:description/>
  <cp:lastModifiedBy>Marshall, Claire</cp:lastModifiedBy>
  <cp:revision>2</cp:revision>
  <cp:lastPrinted>2021-04-29T13:05:00Z</cp:lastPrinted>
  <dcterms:created xsi:type="dcterms:W3CDTF">2026-08-06T10:40:00Z</dcterms:created>
  <dcterms:modified xsi:type="dcterms:W3CDTF">2026-08-06T10:40:00Z</dcterms:modified>
</cp:coreProperties>
</file>